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778264">
      <w:pPr>
        <w:spacing w:line="251" w:lineRule="auto"/>
        <w:rPr>
          <w:rFonts w:ascii="Arial"/>
          <w:sz w:val="21"/>
          <w:highlight w:val="none"/>
        </w:rPr>
      </w:pPr>
    </w:p>
    <w:p w14:paraId="70EE7FB5">
      <w:pPr>
        <w:spacing w:line="251" w:lineRule="auto"/>
        <w:rPr>
          <w:rFonts w:ascii="Arial"/>
          <w:sz w:val="21"/>
          <w:highlight w:val="none"/>
        </w:rPr>
      </w:pPr>
    </w:p>
    <w:p w14:paraId="039DB107">
      <w:pPr>
        <w:spacing w:line="251" w:lineRule="auto"/>
        <w:rPr>
          <w:rFonts w:ascii="Arial"/>
          <w:sz w:val="21"/>
          <w:highlight w:val="none"/>
        </w:rPr>
      </w:pPr>
    </w:p>
    <w:p w14:paraId="7A62A64A">
      <w:pPr>
        <w:spacing w:line="251" w:lineRule="auto"/>
        <w:rPr>
          <w:rFonts w:ascii="Arial"/>
          <w:sz w:val="21"/>
          <w:highlight w:val="none"/>
        </w:rPr>
      </w:pPr>
    </w:p>
    <w:p w14:paraId="4DBD8B31">
      <w:pPr>
        <w:spacing w:line="251" w:lineRule="auto"/>
        <w:rPr>
          <w:rFonts w:ascii="Arial"/>
          <w:sz w:val="21"/>
          <w:highlight w:val="none"/>
        </w:rPr>
      </w:pPr>
    </w:p>
    <w:p w14:paraId="32414E3F">
      <w:pPr>
        <w:spacing w:line="251" w:lineRule="auto"/>
        <w:rPr>
          <w:rFonts w:ascii="Arial"/>
          <w:sz w:val="21"/>
          <w:highlight w:val="none"/>
        </w:rPr>
      </w:pPr>
    </w:p>
    <w:p w14:paraId="3653FDC5">
      <w:pPr>
        <w:spacing w:line="251" w:lineRule="auto"/>
        <w:rPr>
          <w:rFonts w:ascii="Arial"/>
          <w:sz w:val="21"/>
          <w:highlight w:val="none"/>
        </w:rPr>
      </w:pPr>
    </w:p>
    <w:p w14:paraId="63BE6B14">
      <w:pPr>
        <w:spacing w:line="251" w:lineRule="auto"/>
        <w:rPr>
          <w:rFonts w:ascii="Arial"/>
          <w:sz w:val="21"/>
          <w:highlight w:val="none"/>
        </w:rPr>
      </w:pPr>
    </w:p>
    <w:p w14:paraId="657B60E9">
      <w:pPr>
        <w:spacing w:line="251" w:lineRule="auto"/>
        <w:rPr>
          <w:rFonts w:ascii="Arial"/>
          <w:sz w:val="21"/>
          <w:highlight w:val="none"/>
        </w:rPr>
      </w:pPr>
    </w:p>
    <w:p w14:paraId="16BCDA1B">
      <w:pPr>
        <w:spacing w:line="251" w:lineRule="auto"/>
        <w:rPr>
          <w:rFonts w:ascii="Arial"/>
          <w:sz w:val="21"/>
          <w:highlight w:val="none"/>
        </w:rPr>
      </w:pPr>
    </w:p>
    <w:p w14:paraId="70553FE7">
      <w:pPr>
        <w:spacing w:line="251" w:lineRule="auto"/>
        <w:rPr>
          <w:rFonts w:ascii="Arial"/>
          <w:sz w:val="21"/>
          <w:highlight w:val="none"/>
        </w:rPr>
      </w:pPr>
    </w:p>
    <w:p w14:paraId="66B01A4C">
      <w:pPr>
        <w:spacing w:line="251" w:lineRule="auto"/>
        <w:rPr>
          <w:rFonts w:ascii="Arial"/>
          <w:sz w:val="21"/>
          <w:highlight w:val="none"/>
        </w:rPr>
      </w:pPr>
    </w:p>
    <w:p w14:paraId="40519961">
      <w:pPr>
        <w:spacing w:line="251" w:lineRule="auto"/>
        <w:rPr>
          <w:rFonts w:ascii="Arial"/>
          <w:sz w:val="21"/>
          <w:highlight w:val="none"/>
        </w:rPr>
      </w:pPr>
    </w:p>
    <w:p w14:paraId="31C093C4">
      <w:pPr>
        <w:spacing w:line="251" w:lineRule="auto"/>
        <w:rPr>
          <w:rFonts w:ascii="Arial"/>
          <w:sz w:val="21"/>
          <w:highlight w:val="none"/>
        </w:rPr>
      </w:pPr>
    </w:p>
    <w:p w14:paraId="5ADA7285">
      <w:pPr>
        <w:spacing w:line="251" w:lineRule="auto"/>
        <w:rPr>
          <w:rFonts w:ascii="Arial"/>
          <w:sz w:val="21"/>
          <w:highlight w:val="none"/>
        </w:rPr>
      </w:pPr>
    </w:p>
    <w:p w14:paraId="76B90AAD">
      <w:pPr>
        <w:spacing w:line="251" w:lineRule="auto"/>
        <w:rPr>
          <w:rFonts w:ascii="Arial"/>
          <w:sz w:val="21"/>
          <w:highlight w:val="none"/>
        </w:rPr>
      </w:pPr>
    </w:p>
    <w:p w14:paraId="468A1141">
      <w:pPr>
        <w:pStyle w:val="2"/>
        <w:spacing w:before="143" w:line="221" w:lineRule="auto"/>
        <w:ind w:left="684"/>
        <w:outlineLvl w:val="0"/>
        <w:rPr>
          <w:rFonts w:hint="eastAsia" w:ascii="方正小标宋简体" w:hAnsi="方正小标宋简体" w:eastAsia="方正小标宋简体" w:cs="方正小标宋简体"/>
          <w:snapToGrid/>
          <w:kern w:val="2"/>
          <w:sz w:val="44"/>
          <w:szCs w:val="44"/>
          <w:lang w:val="en-US" w:eastAsia="zh-CN" w:bidi="ar-SA"/>
        </w:rPr>
      </w:pPr>
      <w:r>
        <w:rPr>
          <w:rFonts w:hint="eastAsia" w:ascii="方正小标宋简体" w:hAnsi="方正小标宋简体" w:eastAsia="方正小标宋简体" w:cs="方正小标宋简体"/>
          <w:snapToGrid/>
          <w:kern w:val="2"/>
          <w:sz w:val="44"/>
          <w:szCs w:val="44"/>
          <w:lang w:val="en-US" w:eastAsia="zh-CN" w:bidi="ar-SA"/>
        </w:rPr>
        <w:t>北京市水务局项目支出绩效评价报告</w:t>
      </w:r>
    </w:p>
    <w:p w14:paraId="192AA280">
      <w:pPr>
        <w:spacing w:line="249" w:lineRule="auto"/>
        <w:rPr>
          <w:rFonts w:ascii="Arial"/>
          <w:sz w:val="21"/>
          <w:highlight w:val="none"/>
        </w:rPr>
      </w:pPr>
    </w:p>
    <w:p w14:paraId="6B9CD198">
      <w:pPr>
        <w:spacing w:line="249" w:lineRule="auto"/>
        <w:rPr>
          <w:rFonts w:ascii="Arial"/>
          <w:sz w:val="21"/>
          <w:highlight w:val="none"/>
        </w:rPr>
      </w:pPr>
    </w:p>
    <w:p w14:paraId="01A5CB5F">
      <w:pPr>
        <w:spacing w:line="249" w:lineRule="auto"/>
        <w:rPr>
          <w:rFonts w:ascii="Arial"/>
          <w:sz w:val="21"/>
          <w:highlight w:val="none"/>
        </w:rPr>
      </w:pPr>
    </w:p>
    <w:p w14:paraId="4C851E86">
      <w:pPr>
        <w:spacing w:line="250" w:lineRule="auto"/>
        <w:rPr>
          <w:rFonts w:ascii="Arial"/>
          <w:sz w:val="21"/>
          <w:highlight w:val="none"/>
        </w:rPr>
      </w:pPr>
    </w:p>
    <w:p w14:paraId="09CE3012">
      <w:pPr>
        <w:spacing w:line="250" w:lineRule="auto"/>
        <w:rPr>
          <w:rFonts w:ascii="Arial"/>
          <w:sz w:val="21"/>
          <w:highlight w:val="none"/>
        </w:rPr>
      </w:pPr>
    </w:p>
    <w:p w14:paraId="5418ECE6">
      <w:pPr>
        <w:spacing w:line="250" w:lineRule="auto"/>
        <w:rPr>
          <w:rFonts w:ascii="Arial"/>
          <w:sz w:val="21"/>
          <w:highlight w:val="none"/>
        </w:rPr>
      </w:pPr>
    </w:p>
    <w:p w14:paraId="70ACD994">
      <w:pPr>
        <w:spacing w:line="250" w:lineRule="auto"/>
        <w:rPr>
          <w:rFonts w:ascii="Arial"/>
          <w:sz w:val="21"/>
          <w:highlight w:val="none"/>
        </w:rPr>
      </w:pPr>
    </w:p>
    <w:p w14:paraId="361BC85E">
      <w:pPr>
        <w:spacing w:line="250" w:lineRule="auto"/>
        <w:rPr>
          <w:rFonts w:ascii="Arial"/>
          <w:sz w:val="21"/>
          <w:highlight w:val="none"/>
        </w:rPr>
      </w:pPr>
    </w:p>
    <w:p w14:paraId="6B3D104A">
      <w:pPr>
        <w:spacing w:line="250" w:lineRule="auto"/>
        <w:rPr>
          <w:rFonts w:ascii="Arial"/>
          <w:sz w:val="21"/>
          <w:highlight w:val="none"/>
        </w:rPr>
      </w:pPr>
    </w:p>
    <w:p w14:paraId="265062A9">
      <w:pPr>
        <w:spacing w:line="250" w:lineRule="auto"/>
        <w:rPr>
          <w:rFonts w:ascii="Arial"/>
          <w:sz w:val="21"/>
          <w:highlight w:val="none"/>
        </w:rPr>
      </w:pPr>
    </w:p>
    <w:p w14:paraId="1F8856A5">
      <w:pPr>
        <w:spacing w:line="250" w:lineRule="auto"/>
        <w:rPr>
          <w:rFonts w:ascii="Arial"/>
          <w:sz w:val="21"/>
          <w:highlight w:val="none"/>
        </w:rPr>
      </w:pPr>
    </w:p>
    <w:p w14:paraId="41999567">
      <w:pPr>
        <w:spacing w:line="250" w:lineRule="auto"/>
        <w:rPr>
          <w:rFonts w:ascii="Arial"/>
          <w:sz w:val="21"/>
          <w:highlight w:val="none"/>
        </w:rPr>
      </w:pPr>
    </w:p>
    <w:p w14:paraId="0F97D411">
      <w:pPr>
        <w:spacing w:line="250" w:lineRule="auto"/>
        <w:rPr>
          <w:rFonts w:ascii="Arial"/>
          <w:sz w:val="21"/>
          <w:highlight w:val="none"/>
        </w:rPr>
      </w:pPr>
    </w:p>
    <w:p w14:paraId="34C60CCD">
      <w:pPr>
        <w:spacing w:line="250" w:lineRule="auto"/>
        <w:rPr>
          <w:rFonts w:ascii="Arial"/>
          <w:sz w:val="21"/>
          <w:highlight w:val="none"/>
        </w:rPr>
      </w:pPr>
    </w:p>
    <w:p w14:paraId="7468CD4E">
      <w:pPr>
        <w:spacing w:line="250" w:lineRule="auto"/>
        <w:rPr>
          <w:rFonts w:ascii="Arial"/>
          <w:sz w:val="21"/>
          <w:highlight w:val="none"/>
        </w:rPr>
      </w:pPr>
      <w:r>
        <w:rPr>
          <w:highlight w:val="none"/>
        </w:rPr>
        <w:drawing>
          <wp:anchor distT="0" distB="0" distL="0" distR="0" simplePos="0" relativeHeight="251660288" behindDoc="1" locked="0" layoutInCell="1" allowOverlap="1">
            <wp:simplePos x="0" y="0"/>
            <wp:positionH relativeFrom="column">
              <wp:posOffset>6222365</wp:posOffset>
            </wp:positionH>
            <wp:positionV relativeFrom="paragraph">
              <wp:posOffset>75565</wp:posOffset>
            </wp:positionV>
            <wp:extent cx="85725" cy="571500"/>
            <wp:effectExtent l="0" t="0" r="0" b="0"/>
            <wp:wrapNone/>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10"/>
                    <a:stretch>
                      <a:fillRect/>
                    </a:stretch>
                  </pic:blipFill>
                  <pic:spPr>
                    <a:xfrm>
                      <a:off x="0" y="0"/>
                      <a:ext cx="85937" cy="571345"/>
                    </a:xfrm>
                    <a:prstGeom prst="rect">
                      <a:avLst/>
                    </a:prstGeom>
                  </pic:spPr>
                </pic:pic>
              </a:graphicData>
            </a:graphic>
          </wp:anchor>
        </w:drawing>
      </w:r>
    </w:p>
    <w:p w14:paraId="5032800D">
      <w:pPr>
        <w:spacing w:line="250" w:lineRule="auto"/>
        <w:rPr>
          <w:rFonts w:ascii="Arial"/>
          <w:sz w:val="21"/>
          <w:highlight w:val="none"/>
        </w:rPr>
      </w:pPr>
    </w:p>
    <w:p w14:paraId="328C8D19">
      <w:pPr>
        <w:pStyle w:val="2"/>
        <w:spacing w:before="97" w:line="222" w:lineRule="auto"/>
        <w:ind w:left="255"/>
        <w:rPr>
          <w:highlight w:val="none"/>
        </w:rPr>
      </w:pPr>
      <w:r>
        <w:rPr>
          <w:spacing w:val="-2"/>
          <w:highlight w:val="none"/>
        </w:rPr>
        <w:t>项目名称：</w:t>
      </w:r>
      <w:r>
        <w:rPr>
          <w:spacing w:val="-2"/>
          <w:highlight w:val="none"/>
          <w:u w:val="single" w:color="auto"/>
        </w:rPr>
        <w:t>农村供水和自建设施供水行业监管项目</w:t>
      </w:r>
    </w:p>
    <w:p w14:paraId="08DEE117">
      <w:pPr>
        <w:pStyle w:val="2"/>
        <w:spacing w:before="248" w:line="221" w:lineRule="auto"/>
        <w:ind w:left="255"/>
        <w:rPr>
          <w:highlight w:val="none"/>
        </w:rPr>
      </w:pPr>
      <w:r>
        <w:rPr>
          <w:spacing w:val="-12"/>
          <w:highlight w:val="none"/>
        </w:rPr>
        <w:t>项目单位：</w:t>
      </w:r>
      <w:r>
        <w:rPr>
          <w:spacing w:val="-25"/>
          <w:highlight w:val="none"/>
        </w:rPr>
        <w:t xml:space="preserve"> </w:t>
      </w:r>
      <w:r>
        <w:rPr>
          <w:spacing w:val="-136"/>
          <w:highlight w:val="none"/>
          <w:u w:val="single" w:color="auto"/>
        </w:rPr>
        <w:t xml:space="preserve"> </w:t>
      </w:r>
      <w:r>
        <w:rPr>
          <w:spacing w:val="-12"/>
          <w:highlight w:val="none"/>
          <w:u w:val="single" w:color="auto"/>
        </w:rPr>
        <w:t>北京市供水管理事务中心</w:t>
      </w:r>
      <w:r>
        <w:rPr>
          <w:highlight w:val="none"/>
          <w:u w:val="single" w:color="auto"/>
        </w:rPr>
        <w:t xml:space="preserve">        </w:t>
      </w:r>
    </w:p>
    <w:p w14:paraId="7CF31F3A">
      <w:pPr>
        <w:pStyle w:val="2"/>
        <w:spacing w:before="270" w:line="221" w:lineRule="auto"/>
        <w:ind w:left="255"/>
        <w:rPr>
          <w:highlight w:val="none"/>
        </w:rPr>
      </w:pPr>
      <w:r>
        <w:rPr>
          <w:highlight w:val="none"/>
        </w:rPr>
        <w:drawing>
          <wp:anchor distT="0" distB="0" distL="0" distR="0" simplePos="0" relativeHeight="251661312" behindDoc="0" locked="0" layoutInCell="1" allowOverlap="1">
            <wp:simplePos x="0" y="0"/>
            <wp:positionH relativeFrom="column">
              <wp:posOffset>2771775</wp:posOffset>
            </wp:positionH>
            <wp:positionV relativeFrom="paragraph">
              <wp:posOffset>57785</wp:posOffset>
            </wp:positionV>
            <wp:extent cx="1524000" cy="1536700"/>
            <wp:effectExtent l="0" t="0" r="0" b="0"/>
            <wp:wrapNone/>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11"/>
                    <a:stretch>
                      <a:fillRect/>
                    </a:stretch>
                  </pic:blipFill>
                  <pic:spPr>
                    <a:xfrm>
                      <a:off x="0" y="0"/>
                      <a:ext cx="1523994" cy="1536690"/>
                    </a:xfrm>
                    <a:prstGeom prst="rect">
                      <a:avLst/>
                    </a:prstGeom>
                  </pic:spPr>
                </pic:pic>
              </a:graphicData>
            </a:graphic>
          </wp:anchor>
        </w:drawing>
      </w:r>
      <w:r>
        <w:rPr>
          <w:spacing w:val="-10"/>
          <w:highlight w:val="none"/>
        </w:rPr>
        <w:t>主管部门：</w:t>
      </w:r>
      <w:r>
        <w:rPr>
          <w:rFonts w:hint="eastAsia"/>
          <w:spacing w:val="-10"/>
          <w:highlight w:val="none"/>
          <w:lang w:val="en-US" w:eastAsia="zh-CN"/>
        </w:rPr>
        <w:t xml:space="preserve"> </w:t>
      </w:r>
      <w:r>
        <w:rPr>
          <w:rFonts w:hint="eastAsia"/>
          <w:spacing w:val="-10"/>
          <w:highlight w:val="none"/>
          <w:u w:val="single" w:color="auto"/>
          <w:lang w:val="en-US" w:eastAsia="zh-CN"/>
        </w:rPr>
        <w:t xml:space="preserve"> </w:t>
      </w:r>
      <w:r>
        <w:rPr>
          <w:spacing w:val="-10"/>
          <w:highlight w:val="none"/>
          <w:u w:val="single" w:color="auto"/>
        </w:rPr>
        <w:t xml:space="preserve">北京市水务局               </w:t>
      </w:r>
      <w:r>
        <w:rPr>
          <w:spacing w:val="-11"/>
          <w:highlight w:val="none"/>
          <w:u w:val="single" w:color="auto"/>
        </w:rPr>
        <w:t xml:space="preserve">   </w:t>
      </w:r>
    </w:p>
    <w:p w14:paraId="2F0F333A">
      <w:pPr>
        <w:pStyle w:val="2"/>
        <w:spacing w:before="291" w:line="221" w:lineRule="auto"/>
        <w:ind w:left="255"/>
        <w:rPr>
          <w:highlight w:val="none"/>
        </w:rPr>
      </w:pPr>
      <w:r>
        <w:rPr>
          <w:spacing w:val="26"/>
          <w:highlight w:val="none"/>
        </w:rPr>
        <w:t>评价机构：</w:t>
      </w:r>
      <w:r>
        <w:rPr>
          <w:spacing w:val="26"/>
          <w:highlight w:val="none"/>
          <w:u w:val="single" w:color="auto"/>
        </w:rPr>
        <w:t>北京中咨新世纪会计师事务所有限公司(盖章)</w:t>
      </w:r>
      <w:r>
        <w:rPr>
          <w:spacing w:val="8"/>
          <w:highlight w:val="none"/>
          <w:u w:val="single" w:color="auto"/>
        </w:rPr>
        <w:t xml:space="preserve">  </w:t>
      </w:r>
    </w:p>
    <w:p w14:paraId="49B221CF">
      <w:pPr>
        <w:pStyle w:val="2"/>
        <w:spacing w:before="252" w:line="222" w:lineRule="auto"/>
        <w:ind w:left="255"/>
        <w:rPr>
          <w:highlight w:val="none"/>
        </w:rPr>
      </w:pPr>
      <w:r>
        <w:rPr>
          <w:spacing w:val="-9"/>
          <w:highlight w:val="none"/>
        </w:rPr>
        <w:t>评价时间：</w:t>
      </w:r>
      <w:r>
        <w:rPr>
          <w:rFonts w:hint="eastAsia"/>
          <w:spacing w:val="-9"/>
          <w:highlight w:val="none"/>
          <w:u w:val="single"/>
          <w:lang w:val="en-US" w:eastAsia="zh-CN"/>
        </w:rPr>
        <w:t xml:space="preserve">  </w:t>
      </w:r>
      <w:r>
        <w:rPr>
          <w:spacing w:val="-9"/>
          <w:highlight w:val="none"/>
          <w:u w:val="single" w:color="auto"/>
        </w:rPr>
        <w:t>2025年4月</w:t>
      </w:r>
      <w:r>
        <w:rPr>
          <w:highlight w:val="none"/>
          <w:u w:val="single" w:color="auto"/>
        </w:rPr>
        <w:t xml:space="preserve">                           </w:t>
      </w:r>
    </w:p>
    <w:p w14:paraId="58E3410B">
      <w:pPr>
        <w:spacing w:line="222" w:lineRule="auto"/>
        <w:rPr>
          <w:highlight w:val="none"/>
        </w:rPr>
        <w:sectPr>
          <w:headerReference r:id="rId5" w:type="default"/>
          <w:pgSz w:w="11900" w:h="16830"/>
          <w:pgMar w:top="400" w:right="180" w:bottom="0" w:left="1785" w:header="0" w:footer="0" w:gutter="0"/>
          <w:cols w:space="720" w:num="1"/>
        </w:sectPr>
      </w:pPr>
    </w:p>
    <w:p w14:paraId="1F3EBCD7">
      <w:pPr>
        <w:spacing w:line="253" w:lineRule="auto"/>
        <w:rPr>
          <w:rFonts w:ascii="Arial"/>
          <w:sz w:val="21"/>
          <w:highlight w:val="none"/>
        </w:rPr>
      </w:pPr>
    </w:p>
    <w:p w14:paraId="101DFFBF">
      <w:pPr>
        <w:pStyle w:val="2"/>
        <w:keepNext w:val="0"/>
        <w:keepLines w:val="0"/>
        <w:pageBreakBefore w:val="0"/>
        <w:wordWrap/>
        <w:overflowPunct/>
        <w:topLinePunct w:val="0"/>
        <w:bidi w:val="0"/>
        <w:spacing w:before="143" w:line="560" w:lineRule="exact"/>
        <w:ind w:right="800"/>
        <w:jc w:val="center"/>
        <w:rPr>
          <w:rFonts w:hint="eastAsia" w:ascii="方正小标宋简体" w:hAnsi="方正小标宋简体" w:eastAsia="方正小标宋简体" w:cs="方正小标宋简体"/>
          <w:snapToGrid/>
          <w:kern w:val="2"/>
          <w:sz w:val="44"/>
          <w:szCs w:val="44"/>
          <w:lang w:val="en-US" w:eastAsia="zh-CN" w:bidi="ar-SA"/>
        </w:rPr>
      </w:pPr>
      <w:r>
        <w:rPr>
          <w:rFonts w:hint="eastAsia" w:ascii="方正小标宋简体" w:hAnsi="方正小标宋简体" w:eastAsia="方正小标宋简体" w:cs="方正小标宋简体"/>
          <w:snapToGrid/>
          <w:kern w:val="2"/>
          <w:sz w:val="44"/>
          <w:szCs w:val="44"/>
          <w:lang w:val="en-US" w:eastAsia="zh-CN" w:bidi="ar-SA"/>
        </w:rPr>
        <w:t>农村供水和自建设施供水行业监管项目支出绩效评价报告</w:t>
      </w:r>
    </w:p>
    <w:p w14:paraId="52A8DDE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right"/>
        <w:textAlignment w:val="auto"/>
        <w:rPr>
          <w:rFonts w:hint="eastAsia" w:ascii="仿宋_GB2312" w:hAnsi="仿宋_GB2312" w:eastAsia="仿宋_GB2312" w:cs="仿宋_GB2312"/>
          <w:snapToGrid/>
          <w:kern w:val="2"/>
          <w:sz w:val="32"/>
          <w:szCs w:val="32"/>
          <w:u w:val="none"/>
          <w:lang w:val="en-US" w:eastAsia="zh-CN"/>
        </w:rPr>
      </w:pPr>
      <w:r>
        <w:rPr>
          <w:rFonts w:hint="eastAsia" w:ascii="仿宋_GB2312" w:hAnsi="仿宋_GB2312" w:eastAsia="仿宋_GB2312" w:cs="仿宋_GB2312"/>
          <w:snapToGrid/>
          <w:kern w:val="2"/>
          <w:sz w:val="32"/>
          <w:szCs w:val="32"/>
          <w:u w:val="none"/>
          <w:lang w:val="en-US" w:eastAsia="zh-CN"/>
        </w:rPr>
        <w:t>中咨服字(2025)140号</w:t>
      </w:r>
    </w:p>
    <w:p w14:paraId="0CDA2F9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napToGrid/>
          <w:kern w:val="2"/>
          <w:sz w:val="32"/>
          <w:szCs w:val="32"/>
          <w:u w:val="none"/>
          <w:lang w:val="en-US" w:eastAsia="zh-CN"/>
        </w:rPr>
      </w:pPr>
      <w:r>
        <w:rPr>
          <w:rFonts w:hint="eastAsia" w:ascii="仿宋_GB2312" w:hAnsi="仿宋_GB2312" w:eastAsia="仿宋_GB2312" w:cs="仿宋_GB2312"/>
          <w:snapToGrid/>
          <w:kern w:val="2"/>
          <w:sz w:val="32"/>
          <w:szCs w:val="32"/>
          <w:u w:val="none"/>
          <w:lang w:val="en-US" w:eastAsia="zh-CN"/>
        </w:rPr>
        <w:t>为全面实施预算绩效管理，增强支出责任和预算绩效管理意识，提升财政资源配置效率和使用效益，根据《中共北京市委北京市人民政府关于全面实施预算绩效管理的实施意见》(京发〔2019〕12号)《北京市预算绩效管理办法》(京财绩效〔2019〕2129号)《北京市项目支出绩效评价管理办法》(京财绩效〔2020〕2146号)等文件的要求，北京市水务局成立了绩效评价工作组，对北京市供水管理事务中心“农村供水和自建设施供水行业监管项目”项目的绩效情况实施绩效评价，并形成本绩效评价报告。该项目评价结果为83.38分，评价等级为良。有关情况如下。</w:t>
      </w:r>
    </w:p>
    <w:p w14:paraId="08F4DFA1">
      <w:pPr>
        <w:pStyle w:val="2"/>
        <w:keepNext w:val="0"/>
        <w:keepLines w:val="0"/>
        <w:pageBreakBefore w:val="0"/>
        <w:wordWrap/>
        <w:overflowPunct/>
        <w:topLinePunct w:val="0"/>
        <w:bidi w:val="0"/>
        <w:spacing w:before="44" w:line="560" w:lineRule="exact"/>
        <w:ind w:firstLine="671" w:firstLineChars="200"/>
        <w:outlineLvl w:val="2"/>
        <w:rPr>
          <w:rFonts w:hint="eastAsia"/>
          <w:b/>
          <w:bCs/>
          <w:spacing w:val="7"/>
          <w:sz w:val="32"/>
          <w:szCs w:val="32"/>
          <w:highlight w:val="none"/>
        </w:rPr>
      </w:pPr>
      <w:r>
        <w:rPr>
          <w:rFonts w:hint="eastAsia"/>
          <w:b/>
          <w:bCs/>
          <w:spacing w:val="7"/>
          <w:sz w:val="32"/>
          <w:szCs w:val="32"/>
          <w:highlight w:val="none"/>
        </w:rPr>
        <w:t>一 、基本情况</w:t>
      </w:r>
    </w:p>
    <w:p w14:paraId="3CBFBD9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snapToGrid/>
          <w:kern w:val="2"/>
          <w:sz w:val="32"/>
          <w:szCs w:val="32"/>
          <w:lang w:val="en-US" w:eastAsia="zh-CN"/>
        </w:rPr>
      </w:pPr>
      <w:r>
        <w:rPr>
          <w:rFonts w:hint="eastAsia" w:ascii="楷体_GB2312" w:hAnsi="楷体_GB2312" w:eastAsia="楷体_GB2312" w:cs="楷体_GB2312"/>
          <w:snapToGrid/>
          <w:kern w:val="2"/>
          <w:sz w:val="32"/>
          <w:szCs w:val="32"/>
          <w:lang w:val="en-US" w:eastAsia="zh-CN"/>
        </w:rPr>
        <w:t>（一）项目概况。</w:t>
      </w:r>
    </w:p>
    <w:p w14:paraId="5079A6F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napToGrid/>
          <w:kern w:val="2"/>
          <w:sz w:val="32"/>
          <w:szCs w:val="32"/>
          <w:u w:val="none"/>
          <w:lang w:val="en-US" w:eastAsia="zh-CN"/>
        </w:rPr>
      </w:pPr>
      <w:r>
        <w:rPr>
          <w:rFonts w:hint="eastAsia" w:ascii="仿宋_GB2312" w:hAnsi="仿宋_GB2312" w:eastAsia="仿宋_GB2312" w:cs="仿宋_GB2312"/>
          <w:snapToGrid/>
          <w:kern w:val="2"/>
          <w:sz w:val="32"/>
          <w:szCs w:val="32"/>
          <w:u w:val="none"/>
          <w:lang w:val="en-US" w:eastAsia="zh-CN"/>
        </w:rPr>
        <w:t>1.项目基本情况</w:t>
      </w:r>
    </w:p>
    <w:p w14:paraId="75248D0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napToGrid/>
          <w:kern w:val="2"/>
          <w:sz w:val="32"/>
          <w:szCs w:val="32"/>
          <w:u w:val="none"/>
          <w:lang w:val="en-US" w:eastAsia="zh-CN"/>
        </w:rPr>
      </w:pPr>
      <w:r>
        <w:rPr>
          <w:rFonts w:hint="eastAsia" w:ascii="仿宋_GB2312" w:hAnsi="仿宋_GB2312" w:eastAsia="仿宋_GB2312" w:cs="仿宋_GB2312"/>
          <w:snapToGrid/>
          <w:kern w:val="2"/>
          <w:sz w:val="32"/>
          <w:szCs w:val="32"/>
          <w:u w:val="none"/>
          <w:lang w:val="en-US" w:eastAsia="zh-CN"/>
        </w:rPr>
        <w:t>项目名称：农村供水和自建设施供水行业监管项目</w:t>
      </w:r>
    </w:p>
    <w:p w14:paraId="178521F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napToGrid/>
          <w:kern w:val="2"/>
          <w:sz w:val="32"/>
          <w:szCs w:val="32"/>
          <w:u w:val="none"/>
          <w:lang w:val="en-US" w:eastAsia="zh-CN"/>
        </w:rPr>
      </w:pPr>
      <w:r>
        <w:rPr>
          <w:rFonts w:hint="eastAsia" w:ascii="仿宋_GB2312" w:hAnsi="仿宋_GB2312" w:eastAsia="仿宋_GB2312" w:cs="仿宋_GB2312"/>
          <w:snapToGrid/>
          <w:kern w:val="2"/>
          <w:sz w:val="32"/>
          <w:szCs w:val="32"/>
          <w:u w:val="none"/>
          <w:lang w:val="en-US" w:eastAsia="zh-CN"/>
        </w:rPr>
        <w:t>实施部门：北京市供水管理事务中心</w:t>
      </w:r>
    </w:p>
    <w:p w14:paraId="22A1676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napToGrid/>
          <w:kern w:val="2"/>
          <w:sz w:val="32"/>
          <w:szCs w:val="32"/>
          <w:u w:val="none"/>
          <w:lang w:val="en-US" w:eastAsia="zh-CN"/>
        </w:rPr>
      </w:pPr>
      <w:r>
        <w:rPr>
          <w:rFonts w:hint="eastAsia" w:ascii="仿宋_GB2312" w:hAnsi="仿宋_GB2312" w:eastAsia="仿宋_GB2312" w:cs="仿宋_GB2312"/>
          <w:snapToGrid/>
          <w:kern w:val="2"/>
          <w:sz w:val="32"/>
          <w:szCs w:val="32"/>
          <w:u w:val="none"/>
          <w:lang w:val="en-US" w:eastAsia="zh-CN"/>
        </w:rPr>
        <w:t>项目类型：延续项目</w:t>
      </w:r>
    </w:p>
    <w:p w14:paraId="04B0E08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napToGrid/>
          <w:kern w:val="2"/>
          <w:sz w:val="32"/>
          <w:szCs w:val="32"/>
          <w:u w:val="none"/>
          <w:lang w:val="en-US" w:eastAsia="zh-CN"/>
        </w:rPr>
      </w:pPr>
      <w:r>
        <w:rPr>
          <w:rFonts w:hint="eastAsia" w:ascii="仿宋_GB2312" w:hAnsi="仿宋_GB2312" w:eastAsia="仿宋_GB2312" w:cs="仿宋_GB2312"/>
          <w:snapToGrid/>
          <w:kern w:val="2"/>
          <w:sz w:val="32"/>
          <w:szCs w:val="32"/>
          <w:u w:val="none"/>
          <w:lang w:val="en-US" w:eastAsia="zh-CN"/>
        </w:rPr>
        <w:t>主管部门：北京市水务局</w:t>
      </w:r>
    </w:p>
    <w:p w14:paraId="4EBBA8A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napToGrid/>
          <w:kern w:val="2"/>
          <w:sz w:val="32"/>
          <w:szCs w:val="32"/>
          <w:u w:val="none"/>
          <w:lang w:val="en-US" w:eastAsia="zh-CN"/>
        </w:rPr>
      </w:pPr>
      <w:r>
        <w:rPr>
          <w:rFonts w:hint="eastAsia" w:ascii="仿宋_GB2312" w:hAnsi="仿宋_GB2312" w:eastAsia="仿宋_GB2312" w:cs="仿宋_GB2312"/>
          <w:snapToGrid/>
          <w:kern w:val="2"/>
          <w:sz w:val="32"/>
          <w:szCs w:val="32"/>
          <w:u w:val="none"/>
          <w:lang w:val="en-US" w:eastAsia="zh-CN"/>
        </w:rPr>
        <w:t>2.项目实施背景</w:t>
      </w:r>
    </w:p>
    <w:p w14:paraId="487C133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napToGrid/>
          <w:kern w:val="2"/>
          <w:sz w:val="32"/>
          <w:szCs w:val="32"/>
          <w:u w:val="none"/>
          <w:lang w:val="en-US" w:eastAsia="zh-CN"/>
        </w:rPr>
      </w:pPr>
      <w:r>
        <w:rPr>
          <w:rFonts w:hint="eastAsia" w:ascii="仿宋_GB2312" w:hAnsi="仿宋_GB2312" w:eastAsia="仿宋_GB2312" w:cs="仿宋_GB2312"/>
          <w:snapToGrid/>
          <w:kern w:val="2"/>
          <w:sz w:val="32"/>
          <w:szCs w:val="32"/>
          <w:u w:val="none"/>
          <w:lang w:val="en-US" w:eastAsia="zh-CN"/>
        </w:rPr>
        <w:t>为贯彻落实乡村振兴战略部署，深入落实习近平总书记关于农村饮水安全保障重要指示批示精神，全面贯彻“节水优先、空间均衡、系统治理、两手发力”的治水思路，坚定“转观念、抓统筹、补短板、强监管、惠民生”水务工作思路，以城乡供水公共服务均等化为目标，坚持水源安全可靠、设施功能完善、水质洁净达标、用水集约节约、运营专业规范、服务优质高效的城乡供水高质量发展方向，着力构建完善的水源保护体系、多水源保障体系、公共供水设施体系、专业化运营服务体系和监督管理体系，持续提升首都农村供水保障水平，北京市供水管理事务中心申报农村供水和自建设施供水行业监管项目。</w:t>
      </w:r>
    </w:p>
    <w:p w14:paraId="7383B6A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napToGrid/>
          <w:kern w:val="2"/>
          <w:sz w:val="32"/>
          <w:szCs w:val="32"/>
          <w:u w:val="none"/>
          <w:lang w:val="en-US" w:eastAsia="zh-CN"/>
        </w:rPr>
      </w:pPr>
      <w:r>
        <w:rPr>
          <w:rFonts w:hint="eastAsia" w:ascii="仿宋_GB2312" w:hAnsi="仿宋_GB2312" w:eastAsia="仿宋_GB2312" w:cs="仿宋_GB2312"/>
          <w:snapToGrid/>
          <w:kern w:val="2"/>
          <w:sz w:val="32"/>
          <w:szCs w:val="32"/>
          <w:u w:val="none"/>
          <w:lang w:val="en-US" w:eastAsia="zh-CN"/>
        </w:rPr>
        <w:t>3.项目主要内容</w:t>
      </w:r>
    </w:p>
    <w:p w14:paraId="23A9D28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napToGrid/>
          <w:kern w:val="2"/>
          <w:sz w:val="32"/>
          <w:szCs w:val="32"/>
          <w:u w:val="none"/>
          <w:lang w:val="en-US" w:eastAsia="zh-CN"/>
        </w:rPr>
      </w:pPr>
      <w:r>
        <w:rPr>
          <w:rFonts w:hint="eastAsia" w:ascii="仿宋_GB2312" w:hAnsi="仿宋_GB2312" w:eastAsia="仿宋_GB2312" w:cs="仿宋_GB2312"/>
          <w:snapToGrid/>
          <w:kern w:val="2"/>
          <w:sz w:val="32"/>
          <w:szCs w:val="32"/>
          <w:u w:val="none"/>
          <w:lang w:val="en-US" w:eastAsia="zh-CN"/>
        </w:rPr>
        <w:t>(1)农村供水设施运行监督检查</w:t>
      </w:r>
    </w:p>
    <w:p w14:paraId="2EB5270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napToGrid/>
          <w:kern w:val="2"/>
          <w:sz w:val="32"/>
          <w:szCs w:val="32"/>
          <w:u w:val="none"/>
          <w:lang w:val="en-US" w:eastAsia="zh-CN"/>
        </w:rPr>
      </w:pPr>
      <w:r>
        <w:rPr>
          <w:rFonts w:hint="eastAsia" w:ascii="仿宋_GB2312" w:hAnsi="仿宋_GB2312" w:eastAsia="仿宋_GB2312" w:cs="仿宋_GB2312"/>
          <w:snapToGrid/>
          <w:kern w:val="2"/>
          <w:sz w:val="32"/>
          <w:szCs w:val="32"/>
          <w:u w:val="none"/>
          <w:lang w:val="en-US" w:eastAsia="zh-CN"/>
        </w:rPr>
        <w:t>对全市12个涉农区开展农村供水设施运行管理情况监督检查工作，全年计划检查300处，重点检查水源保护、设备运行管理与维护、水质管理、安全管理、计量收费、管理制度、“三证”和井房卫生等情况。通过检查及时掌握我市农村供水工程实际运行管理情况，督促各区及时解决农村供水管理中出现的常见问题，做好安全风险防范，切实提高农村供水工程运行管理水平。</w:t>
      </w:r>
    </w:p>
    <w:p w14:paraId="298D458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napToGrid/>
          <w:kern w:val="2"/>
          <w:sz w:val="32"/>
          <w:szCs w:val="32"/>
          <w:u w:val="none"/>
          <w:lang w:val="en-US" w:eastAsia="zh-CN"/>
        </w:rPr>
      </w:pPr>
      <w:r>
        <w:rPr>
          <w:rFonts w:hint="eastAsia" w:ascii="仿宋_GB2312" w:hAnsi="仿宋_GB2312" w:eastAsia="仿宋_GB2312" w:cs="仿宋_GB2312"/>
          <w:snapToGrid/>
          <w:kern w:val="2"/>
          <w:sz w:val="32"/>
          <w:szCs w:val="32"/>
          <w:u w:val="none"/>
          <w:lang w:val="en-US" w:eastAsia="zh-CN"/>
        </w:rPr>
        <w:t>(2)农村供水典型消毒设施消毒效果评估</w:t>
      </w:r>
    </w:p>
    <w:p w14:paraId="0CD25CB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napToGrid/>
          <w:kern w:val="2"/>
          <w:sz w:val="32"/>
          <w:szCs w:val="32"/>
          <w:u w:val="none"/>
          <w:lang w:val="en-US" w:eastAsia="zh-CN"/>
        </w:rPr>
      </w:pPr>
      <w:r>
        <w:rPr>
          <w:rFonts w:hint="eastAsia" w:ascii="仿宋_GB2312" w:hAnsi="仿宋_GB2312" w:eastAsia="仿宋_GB2312" w:cs="仿宋_GB2312"/>
          <w:snapToGrid/>
          <w:kern w:val="2"/>
          <w:sz w:val="32"/>
          <w:szCs w:val="32"/>
          <w:u w:val="none"/>
          <w:lang w:val="en-US" w:eastAsia="zh-CN"/>
        </w:rPr>
        <w:t>通过水质指标监测、供水工艺及运行管理等情况分析，对采用二氧化氯、次氯酸钠、臭氧、紫外线等消毒方式的消毒设施设备运行情况及消毒效果进行评估，编写农村供水典型消毒设施设备运行及消毒效果评估报告，用来指导各区水务局和供水管理单位进行农村供水消毒设备选型，同时为做好农村供水消毒设施的运行维护提供科学依据。</w:t>
      </w:r>
    </w:p>
    <w:p w14:paraId="22CCA23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napToGrid/>
          <w:kern w:val="2"/>
          <w:sz w:val="32"/>
          <w:szCs w:val="32"/>
          <w:u w:val="none"/>
          <w:lang w:val="en-US" w:eastAsia="zh-CN"/>
        </w:rPr>
      </w:pPr>
      <w:r>
        <w:rPr>
          <w:rFonts w:hint="eastAsia" w:ascii="仿宋_GB2312" w:hAnsi="仿宋_GB2312" w:eastAsia="仿宋_GB2312" w:cs="仿宋_GB2312"/>
          <w:snapToGrid/>
          <w:kern w:val="2"/>
          <w:sz w:val="32"/>
          <w:szCs w:val="32"/>
          <w:u w:val="none"/>
          <w:lang w:val="en-US" w:eastAsia="zh-CN"/>
        </w:rPr>
        <w:t>(3)北京市农村供水工程标准化管理评价导则编制</w:t>
      </w:r>
    </w:p>
    <w:p w14:paraId="69AC277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napToGrid/>
          <w:kern w:val="2"/>
          <w:sz w:val="32"/>
          <w:szCs w:val="32"/>
          <w:u w:val="none"/>
          <w:lang w:val="en-US" w:eastAsia="zh-CN"/>
        </w:rPr>
      </w:pPr>
      <w:r>
        <w:rPr>
          <w:rFonts w:hint="eastAsia" w:ascii="仿宋_GB2312" w:hAnsi="仿宋_GB2312" w:eastAsia="仿宋_GB2312" w:cs="仿宋_GB2312"/>
          <w:snapToGrid/>
          <w:kern w:val="2"/>
          <w:sz w:val="32"/>
          <w:szCs w:val="32"/>
          <w:u w:val="none"/>
          <w:lang w:val="en-US" w:eastAsia="zh-CN"/>
        </w:rPr>
        <w:t>围绕健全农村供水工程运行管理制度、压实供水保障“三个 责任”、完善“三项制度”体系、明确工程产权归属、落实工程管护主体、构建合理水价形成与水费收缴机制等重点任务，制定符合首都实际的农村供水工程标准化管理评价内容及标准，用来指导各区水务局开展农村供水工程标准化管理和评价，进而全面提升首都农村供水工程规范化管理工作水平。</w:t>
      </w:r>
    </w:p>
    <w:p w14:paraId="47BDE19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napToGrid/>
          <w:kern w:val="2"/>
          <w:sz w:val="32"/>
          <w:szCs w:val="32"/>
          <w:u w:val="none"/>
          <w:lang w:val="en-US" w:eastAsia="zh-CN"/>
        </w:rPr>
      </w:pPr>
      <w:r>
        <w:rPr>
          <w:rFonts w:hint="eastAsia" w:ascii="仿宋_GB2312" w:hAnsi="仿宋_GB2312" w:eastAsia="仿宋_GB2312" w:cs="仿宋_GB2312"/>
          <w:snapToGrid/>
          <w:kern w:val="2"/>
          <w:sz w:val="32"/>
          <w:szCs w:val="32"/>
          <w:u w:val="none"/>
          <w:lang w:val="en-US" w:eastAsia="zh-CN"/>
        </w:rPr>
        <w:t>(4)村庄供水站标准化改造建筑典型图集制作</w:t>
      </w:r>
    </w:p>
    <w:p w14:paraId="00CE24D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napToGrid/>
          <w:kern w:val="2"/>
          <w:sz w:val="32"/>
          <w:szCs w:val="32"/>
          <w:u w:val="none"/>
          <w:lang w:val="en-US" w:eastAsia="zh-CN"/>
        </w:rPr>
      </w:pPr>
      <w:r>
        <w:rPr>
          <w:rFonts w:hint="eastAsia" w:ascii="仿宋_GB2312" w:hAnsi="仿宋_GB2312" w:eastAsia="仿宋_GB2312" w:cs="仿宋_GB2312"/>
          <w:snapToGrid/>
          <w:kern w:val="2"/>
          <w:sz w:val="32"/>
          <w:szCs w:val="32"/>
          <w:u w:val="none"/>
          <w:lang w:val="en-US" w:eastAsia="zh-CN"/>
        </w:rPr>
        <w:t>通过系统梳理村庄供水站标准化改造技术要点、规范井房建筑功能布局与安全标准、明确设施配置要求及施工工艺，形成具有可操作性和示范性的技术图集，为全市村庄供水站标准化改造提供统一技术支撑，指导各区水务局和供水管理单位科学实施供水设施提标改造、优化农村供水设施硬件体系、全面提升供水安全保障能力。</w:t>
      </w:r>
    </w:p>
    <w:p w14:paraId="09091A1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napToGrid/>
          <w:kern w:val="2"/>
          <w:sz w:val="32"/>
          <w:szCs w:val="32"/>
          <w:u w:val="none"/>
          <w:lang w:val="en-US" w:eastAsia="zh-CN"/>
        </w:rPr>
      </w:pPr>
      <w:r>
        <w:rPr>
          <w:rFonts w:hint="eastAsia" w:ascii="仿宋_GB2312" w:hAnsi="仿宋_GB2312" w:eastAsia="仿宋_GB2312" w:cs="仿宋_GB2312"/>
          <w:snapToGrid/>
          <w:kern w:val="2"/>
          <w:sz w:val="32"/>
          <w:szCs w:val="32"/>
          <w:u w:val="none"/>
          <w:lang w:val="en-US" w:eastAsia="zh-CN"/>
        </w:rPr>
        <w:t>4.资金投入和使用情况</w:t>
      </w:r>
    </w:p>
    <w:p w14:paraId="1DE2A92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napToGrid/>
          <w:kern w:val="2"/>
          <w:sz w:val="32"/>
          <w:szCs w:val="32"/>
          <w:u w:val="none"/>
          <w:lang w:val="en-US" w:eastAsia="zh-CN"/>
        </w:rPr>
      </w:pPr>
      <w:r>
        <w:rPr>
          <w:rFonts w:hint="eastAsia" w:ascii="仿宋_GB2312" w:hAnsi="仿宋_GB2312" w:eastAsia="仿宋_GB2312" w:cs="仿宋_GB2312"/>
          <w:snapToGrid/>
          <w:kern w:val="2"/>
          <w:sz w:val="32"/>
          <w:szCs w:val="32"/>
          <w:u w:val="none"/>
          <w:lang w:val="en-US" w:eastAsia="zh-CN"/>
        </w:rPr>
        <w:t>该项目2024年初批复资金153.00万元，年中核减预算24.6738万元，该项目2024年预算批复共计128.3262万元。实际支出128.3262万元，预算执行率100%。具体使用情况见下表：</w:t>
      </w:r>
    </w:p>
    <w:p w14:paraId="55C526E9"/>
    <w:p w14:paraId="64EBE946">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center"/>
        <w:textAlignment w:val="auto"/>
        <w:rPr>
          <w:rFonts w:hint="eastAsia" w:ascii="仿宋_GB2312" w:hAnsi="仿宋_GB2312" w:eastAsia="仿宋_GB2312" w:cs="仿宋_GB2312"/>
          <w:b/>
          <w:bCs/>
          <w:i w:val="0"/>
          <w:iCs w:val="0"/>
          <w:snapToGrid/>
          <w:kern w:val="2"/>
          <w:sz w:val="28"/>
          <w:szCs w:val="28"/>
          <w:u w:val="none"/>
          <w:lang w:val="en-US" w:eastAsia="zh-CN"/>
        </w:rPr>
      </w:pPr>
      <w:r>
        <w:rPr>
          <w:rFonts w:hint="eastAsia" w:ascii="仿宋_GB2312" w:hAnsi="仿宋_GB2312" w:eastAsia="仿宋_GB2312" w:cs="仿宋_GB2312"/>
          <w:b/>
          <w:bCs/>
          <w:i w:val="0"/>
          <w:iCs w:val="0"/>
          <w:snapToGrid/>
          <w:kern w:val="2"/>
          <w:sz w:val="28"/>
          <w:szCs w:val="28"/>
          <w:u w:val="none"/>
          <w:lang w:val="en-US" w:eastAsia="zh-CN"/>
        </w:rPr>
        <w:t>项目资金使用情况表</w:t>
      </w:r>
    </w:p>
    <w:p w14:paraId="235BB99D">
      <w:pPr>
        <w:spacing w:before="238" w:line="221" w:lineRule="auto"/>
        <w:ind w:left="0"/>
        <w:jc w:val="right"/>
        <w:rPr>
          <w:rFonts w:ascii="仿宋" w:hAnsi="仿宋" w:eastAsia="仿宋" w:cs="仿宋"/>
          <w:sz w:val="31"/>
          <w:szCs w:val="31"/>
          <w:highlight w:val="none"/>
        </w:rPr>
      </w:pPr>
      <w:r>
        <w:rPr>
          <w:rFonts w:ascii="仿宋" w:hAnsi="仿宋" w:eastAsia="仿宋" w:cs="仿宋"/>
          <w:spacing w:val="-25"/>
          <w:sz w:val="31"/>
          <w:szCs w:val="31"/>
          <w:highlight w:val="none"/>
        </w:rPr>
        <w:t>单位：万元</w:t>
      </w:r>
    </w:p>
    <w:p w14:paraId="7FD48008">
      <w:pPr>
        <w:spacing w:line="116" w:lineRule="exact"/>
        <w:rPr>
          <w:highlight w:val="none"/>
        </w:rPr>
      </w:pPr>
    </w:p>
    <w:tbl>
      <w:tblPr>
        <w:tblStyle w:val="6"/>
        <w:tblW w:w="901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24"/>
        <w:gridCol w:w="4515"/>
        <w:gridCol w:w="2247"/>
        <w:gridCol w:w="1433"/>
      </w:tblGrid>
      <w:tr w14:paraId="008942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3" w:hRule="atLeast"/>
        </w:trPr>
        <w:tc>
          <w:tcPr>
            <w:tcW w:w="824" w:type="dxa"/>
            <w:vAlign w:val="top"/>
          </w:tcPr>
          <w:p w14:paraId="500528E1">
            <w:pPr>
              <w:pStyle w:val="7"/>
              <w:spacing w:before="46" w:line="197" w:lineRule="auto"/>
              <w:ind w:left="164"/>
              <w:rPr>
                <w:highlight w:val="none"/>
              </w:rPr>
            </w:pPr>
            <w:r>
              <w:rPr>
                <w:spacing w:val="7"/>
                <w:highlight w:val="none"/>
              </w:rPr>
              <w:t>序号</w:t>
            </w:r>
          </w:p>
        </w:tc>
        <w:tc>
          <w:tcPr>
            <w:tcW w:w="4515" w:type="dxa"/>
            <w:vAlign w:val="top"/>
          </w:tcPr>
          <w:p w14:paraId="7D74640C">
            <w:pPr>
              <w:pStyle w:val="7"/>
              <w:spacing w:before="44" w:line="199" w:lineRule="auto"/>
              <w:ind w:left="1771"/>
              <w:rPr>
                <w:highlight w:val="none"/>
              </w:rPr>
            </w:pPr>
            <w:r>
              <w:rPr>
                <w:spacing w:val="3"/>
                <w:highlight w:val="none"/>
              </w:rPr>
              <w:t>支出内容</w:t>
            </w:r>
          </w:p>
        </w:tc>
        <w:tc>
          <w:tcPr>
            <w:tcW w:w="2247" w:type="dxa"/>
            <w:vAlign w:val="top"/>
          </w:tcPr>
          <w:p w14:paraId="61222CD6">
            <w:pPr>
              <w:pStyle w:val="7"/>
              <w:spacing w:before="44" w:line="199" w:lineRule="auto"/>
              <w:ind w:left="635"/>
              <w:rPr>
                <w:highlight w:val="none"/>
              </w:rPr>
            </w:pPr>
            <w:r>
              <w:rPr>
                <w:spacing w:val="-2"/>
                <w:highlight w:val="none"/>
              </w:rPr>
              <w:t>支出金额</w:t>
            </w:r>
          </w:p>
        </w:tc>
        <w:tc>
          <w:tcPr>
            <w:tcW w:w="1433" w:type="dxa"/>
            <w:vAlign w:val="top"/>
          </w:tcPr>
          <w:p w14:paraId="78D4B17A">
            <w:pPr>
              <w:pStyle w:val="7"/>
              <w:spacing w:before="46" w:line="197" w:lineRule="auto"/>
              <w:ind w:left="468"/>
              <w:rPr>
                <w:highlight w:val="none"/>
              </w:rPr>
            </w:pPr>
            <w:r>
              <w:rPr>
                <w:spacing w:val="25"/>
                <w:highlight w:val="none"/>
              </w:rPr>
              <w:t>占比</w:t>
            </w:r>
          </w:p>
        </w:tc>
      </w:tr>
      <w:tr w14:paraId="3098CC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8" w:hRule="atLeast"/>
        </w:trPr>
        <w:tc>
          <w:tcPr>
            <w:tcW w:w="824" w:type="dxa"/>
            <w:vAlign w:val="top"/>
          </w:tcPr>
          <w:p w14:paraId="11D0113F">
            <w:pPr>
              <w:pStyle w:val="7"/>
              <w:spacing w:before="65" w:line="179" w:lineRule="auto"/>
              <w:ind w:left="344"/>
              <w:rPr>
                <w:highlight w:val="none"/>
              </w:rPr>
            </w:pPr>
            <w:r>
              <w:rPr>
                <w:highlight w:val="none"/>
              </w:rPr>
              <w:t>1</w:t>
            </w:r>
          </w:p>
        </w:tc>
        <w:tc>
          <w:tcPr>
            <w:tcW w:w="4515" w:type="dxa"/>
            <w:vAlign w:val="top"/>
          </w:tcPr>
          <w:p w14:paraId="1FF5107E">
            <w:pPr>
              <w:pStyle w:val="7"/>
              <w:spacing w:before="39" w:line="199" w:lineRule="auto"/>
              <w:ind w:left="120"/>
              <w:rPr>
                <w:highlight w:val="none"/>
              </w:rPr>
            </w:pPr>
            <w:r>
              <w:rPr>
                <w:highlight w:val="none"/>
              </w:rPr>
              <w:t>农村供水典型消毒设施消毒效果评估</w:t>
            </w:r>
          </w:p>
        </w:tc>
        <w:tc>
          <w:tcPr>
            <w:tcW w:w="2247" w:type="dxa"/>
            <w:vAlign w:val="top"/>
          </w:tcPr>
          <w:p w14:paraId="4FF172AF">
            <w:pPr>
              <w:pStyle w:val="7"/>
              <w:spacing w:before="65" w:line="179" w:lineRule="auto"/>
              <w:ind w:left="816"/>
              <w:rPr>
                <w:highlight w:val="none"/>
              </w:rPr>
            </w:pPr>
            <w:r>
              <w:rPr>
                <w:spacing w:val="-3"/>
                <w:highlight w:val="none"/>
              </w:rPr>
              <w:t>58.22</w:t>
            </w:r>
          </w:p>
        </w:tc>
        <w:tc>
          <w:tcPr>
            <w:tcW w:w="1433" w:type="dxa"/>
            <w:vAlign w:val="top"/>
          </w:tcPr>
          <w:p w14:paraId="40456F1B">
            <w:pPr>
              <w:pStyle w:val="7"/>
              <w:spacing w:before="65" w:line="179" w:lineRule="auto"/>
              <w:ind w:left="349"/>
              <w:rPr>
                <w:highlight w:val="none"/>
              </w:rPr>
            </w:pPr>
            <w:r>
              <w:rPr>
                <w:spacing w:val="-1"/>
                <w:highlight w:val="none"/>
              </w:rPr>
              <w:t>45.37%</w:t>
            </w:r>
          </w:p>
        </w:tc>
      </w:tr>
      <w:tr w14:paraId="19914D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824" w:type="dxa"/>
            <w:vAlign w:val="top"/>
          </w:tcPr>
          <w:p w14:paraId="51B2A38F">
            <w:pPr>
              <w:pStyle w:val="7"/>
              <w:spacing w:before="67" w:line="185" w:lineRule="auto"/>
              <w:ind w:left="344"/>
              <w:rPr>
                <w:highlight w:val="none"/>
              </w:rPr>
            </w:pPr>
            <w:r>
              <w:rPr>
                <w:highlight w:val="none"/>
              </w:rPr>
              <w:t>2</w:t>
            </w:r>
          </w:p>
        </w:tc>
        <w:tc>
          <w:tcPr>
            <w:tcW w:w="4515" w:type="dxa"/>
            <w:vAlign w:val="top"/>
          </w:tcPr>
          <w:p w14:paraId="0F1B282F">
            <w:pPr>
              <w:pStyle w:val="7"/>
              <w:spacing w:before="41" w:line="205" w:lineRule="auto"/>
              <w:ind w:left="90"/>
              <w:rPr>
                <w:highlight w:val="none"/>
              </w:rPr>
            </w:pPr>
            <w:r>
              <w:rPr>
                <w:spacing w:val="1"/>
                <w:highlight w:val="none"/>
              </w:rPr>
              <w:t>北京市农村供水工程标准化管理评价导则</w:t>
            </w:r>
          </w:p>
        </w:tc>
        <w:tc>
          <w:tcPr>
            <w:tcW w:w="2247" w:type="dxa"/>
            <w:vAlign w:val="top"/>
          </w:tcPr>
          <w:p w14:paraId="01A0BBAE">
            <w:pPr>
              <w:pStyle w:val="7"/>
              <w:spacing w:before="67" w:line="185" w:lineRule="auto"/>
              <w:ind w:left="755"/>
              <w:rPr>
                <w:highlight w:val="none"/>
              </w:rPr>
            </w:pPr>
            <w:r>
              <w:rPr>
                <w:spacing w:val="-2"/>
                <w:highlight w:val="none"/>
              </w:rPr>
              <w:t>21.109</w:t>
            </w:r>
          </w:p>
        </w:tc>
        <w:tc>
          <w:tcPr>
            <w:tcW w:w="1433" w:type="dxa"/>
            <w:vAlign w:val="top"/>
          </w:tcPr>
          <w:p w14:paraId="3C5A9FE1">
            <w:pPr>
              <w:pStyle w:val="7"/>
              <w:spacing w:before="67" w:line="185" w:lineRule="auto"/>
              <w:ind w:left="349"/>
              <w:rPr>
                <w:highlight w:val="none"/>
              </w:rPr>
            </w:pPr>
            <w:r>
              <w:rPr>
                <w:spacing w:val="-5"/>
                <w:highlight w:val="none"/>
              </w:rPr>
              <w:t>16.45%</w:t>
            </w:r>
          </w:p>
        </w:tc>
      </w:tr>
      <w:tr w14:paraId="45F309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8" w:hRule="atLeast"/>
        </w:trPr>
        <w:tc>
          <w:tcPr>
            <w:tcW w:w="824" w:type="dxa"/>
            <w:vAlign w:val="top"/>
          </w:tcPr>
          <w:p w14:paraId="1AE473E8">
            <w:pPr>
              <w:pStyle w:val="7"/>
              <w:spacing w:before="70" w:line="175" w:lineRule="auto"/>
              <w:ind w:left="344"/>
              <w:rPr>
                <w:highlight w:val="none"/>
              </w:rPr>
            </w:pPr>
            <w:r>
              <w:rPr>
                <w:highlight w:val="none"/>
              </w:rPr>
              <w:t>3</w:t>
            </w:r>
          </w:p>
        </w:tc>
        <w:tc>
          <w:tcPr>
            <w:tcW w:w="4515" w:type="dxa"/>
            <w:vAlign w:val="top"/>
          </w:tcPr>
          <w:p w14:paraId="341ED2BE">
            <w:pPr>
              <w:pStyle w:val="7"/>
              <w:spacing w:before="44" w:line="195" w:lineRule="auto"/>
              <w:ind w:left="90"/>
              <w:rPr>
                <w:highlight w:val="none"/>
              </w:rPr>
            </w:pPr>
            <w:r>
              <w:rPr>
                <w:highlight w:val="none"/>
              </w:rPr>
              <w:t>村庄供水站标准化改造建筑典型图集制作</w:t>
            </w:r>
          </w:p>
        </w:tc>
        <w:tc>
          <w:tcPr>
            <w:tcW w:w="2247" w:type="dxa"/>
            <w:vAlign w:val="top"/>
          </w:tcPr>
          <w:p w14:paraId="5B773B09">
            <w:pPr>
              <w:pStyle w:val="7"/>
              <w:spacing w:before="70" w:line="175" w:lineRule="auto"/>
              <w:ind w:left="816"/>
              <w:rPr>
                <w:highlight w:val="none"/>
              </w:rPr>
            </w:pPr>
            <w:r>
              <w:rPr>
                <w:spacing w:val="-2"/>
                <w:highlight w:val="none"/>
              </w:rPr>
              <w:t>43.20</w:t>
            </w:r>
          </w:p>
        </w:tc>
        <w:tc>
          <w:tcPr>
            <w:tcW w:w="1433" w:type="dxa"/>
            <w:vAlign w:val="top"/>
          </w:tcPr>
          <w:p w14:paraId="414182E8">
            <w:pPr>
              <w:pStyle w:val="7"/>
              <w:spacing w:before="70" w:line="175" w:lineRule="auto"/>
              <w:ind w:left="349"/>
              <w:rPr>
                <w:highlight w:val="none"/>
              </w:rPr>
            </w:pPr>
            <w:r>
              <w:rPr>
                <w:spacing w:val="-2"/>
                <w:highlight w:val="none"/>
              </w:rPr>
              <w:t>33.66%</w:t>
            </w:r>
          </w:p>
        </w:tc>
      </w:tr>
      <w:tr w14:paraId="3FD663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9" w:hRule="atLeast"/>
        </w:trPr>
        <w:tc>
          <w:tcPr>
            <w:tcW w:w="824" w:type="dxa"/>
            <w:vAlign w:val="top"/>
          </w:tcPr>
          <w:p w14:paraId="37D3EB80">
            <w:pPr>
              <w:pStyle w:val="7"/>
              <w:spacing w:before="71" w:line="175" w:lineRule="auto"/>
              <w:ind w:left="344"/>
              <w:rPr>
                <w:highlight w:val="none"/>
              </w:rPr>
            </w:pPr>
            <w:r>
              <w:rPr>
                <w:highlight w:val="none"/>
              </w:rPr>
              <w:t>4</w:t>
            </w:r>
          </w:p>
        </w:tc>
        <w:tc>
          <w:tcPr>
            <w:tcW w:w="4515" w:type="dxa"/>
            <w:vAlign w:val="top"/>
          </w:tcPr>
          <w:p w14:paraId="6C3B3CFA">
            <w:pPr>
              <w:pStyle w:val="7"/>
              <w:spacing w:before="46" w:line="194" w:lineRule="auto"/>
              <w:ind w:left="110"/>
              <w:rPr>
                <w:highlight w:val="none"/>
              </w:rPr>
            </w:pPr>
            <w:r>
              <w:rPr>
                <w:spacing w:val="1"/>
                <w:highlight w:val="none"/>
              </w:rPr>
              <w:t>农村供水设施运行监督检查</w:t>
            </w:r>
          </w:p>
        </w:tc>
        <w:tc>
          <w:tcPr>
            <w:tcW w:w="2247" w:type="dxa"/>
            <w:vAlign w:val="top"/>
          </w:tcPr>
          <w:p w14:paraId="701EF568">
            <w:pPr>
              <w:pStyle w:val="7"/>
              <w:spacing w:before="71" w:line="175" w:lineRule="auto"/>
              <w:ind w:left="755"/>
              <w:rPr>
                <w:highlight w:val="none"/>
              </w:rPr>
            </w:pPr>
            <w:r>
              <w:rPr>
                <w:spacing w:val="-2"/>
                <w:highlight w:val="none"/>
              </w:rPr>
              <w:t>5.7972</w:t>
            </w:r>
          </w:p>
        </w:tc>
        <w:tc>
          <w:tcPr>
            <w:tcW w:w="1433" w:type="dxa"/>
            <w:vAlign w:val="top"/>
          </w:tcPr>
          <w:p w14:paraId="09F12D2B">
            <w:pPr>
              <w:pStyle w:val="7"/>
              <w:spacing w:before="71" w:line="175" w:lineRule="auto"/>
              <w:ind w:left="409"/>
              <w:rPr>
                <w:highlight w:val="none"/>
              </w:rPr>
            </w:pPr>
            <w:r>
              <w:rPr>
                <w:spacing w:val="-1"/>
                <w:highlight w:val="none"/>
              </w:rPr>
              <w:t>4.52%</w:t>
            </w:r>
          </w:p>
        </w:tc>
      </w:tr>
      <w:tr w14:paraId="065A9E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3" w:hRule="atLeast"/>
        </w:trPr>
        <w:tc>
          <w:tcPr>
            <w:tcW w:w="5339" w:type="dxa"/>
            <w:gridSpan w:val="2"/>
            <w:vAlign w:val="top"/>
          </w:tcPr>
          <w:p w14:paraId="5DC776D5">
            <w:pPr>
              <w:pStyle w:val="7"/>
              <w:spacing w:before="50" w:line="202" w:lineRule="auto"/>
              <w:ind w:left="2444"/>
              <w:rPr>
                <w:highlight w:val="none"/>
              </w:rPr>
            </w:pPr>
            <w:r>
              <w:rPr>
                <w:spacing w:val="5"/>
                <w:highlight w:val="none"/>
              </w:rPr>
              <w:t>总计</w:t>
            </w:r>
          </w:p>
        </w:tc>
        <w:tc>
          <w:tcPr>
            <w:tcW w:w="2247" w:type="dxa"/>
            <w:vAlign w:val="top"/>
          </w:tcPr>
          <w:p w14:paraId="2B2D4397">
            <w:pPr>
              <w:pStyle w:val="7"/>
              <w:spacing w:before="72" w:line="185" w:lineRule="auto"/>
              <w:ind w:left="635"/>
              <w:rPr>
                <w:highlight w:val="none"/>
              </w:rPr>
            </w:pPr>
            <w:r>
              <w:rPr>
                <w:spacing w:val="-3"/>
                <w:highlight w:val="none"/>
              </w:rPr>
              <w:t>128.3262</w:t>
            </w:r>
          </w:p>
        </w:tc>
        <w:tc>
          <w:tcPr>
            <w:tcW w:w="1433" w:type="dxa"/>
            <w:vAlign w:val="top"/>
          </w:tcPr>
          <w:p w14:paraId="62705A32">
            <w:pPr>
              <w:pStyle w:val="7"/>
              <w:spacing w:before="72" w:line="185" w:lineRule="auto"/>
              <w:ind w:left="288"/>
              <w:rPr>
                <w:highlight w:val="none"/>
              </w:rPr>
            </w:pPr>
            <w:r>
              <w:rPr>
                <w:spacing w:val="-4"/>
                <w:highlight w:val="none"/>
              </w:rPr>
              <w:t>100.00%</w:t>
            </w:r>
          </w:p>
        </w:tc>
      </w:tr>
    </w:tbl>
    <w:p w14:paraId="086536D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snapToGrid/>
          <w:kern w:val="2"/>
          <w:sz w:val="32"/>
          <w:szCs w:val="32"/>
          <w:lang w:val="en-US" w:eastAsia="zh-CN"/>
        </w:rPr>
      </w:pPr>
      <w:r>
        <w:rPr>
          <w:rFonts w:hint="eastAsia" w:ascii="楷体_GB2312" w:hAnsi="楷体_GB2312" w:eastAsia="楷体_GB2312" w:cs="楷体_GB2312"/>
          <w:snapToGrid/>
          <w:kern w:val="2"/>
          <w:sz w:val="32"/>
          <w:szCs w:val="32"/>
          <w:lang w:val="en-US" w:eastAsia="zh-CN"/>
        </w:rPr>
        <w:t>(二)项目绩效目标。</w:t>
      </w:r>
    </w:p>
    <w:p w14:paraId="2421B78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i w:val="0"/>
          <w:iCs w:val="0"/>
          <w:snapToGrid/>
          <w:kern w:val="2"/>
          <w:sz w:val="32"/>
          <w:szCs w:val="32"/>
          <w:u w:val="none"/>
          <w:lang w:val="en-US" w:eastAsia="zh-CN"/>
        </w:rPr>
      </w:pPr>
      <w:r>
        <w:rPr>
          <w:rFonts w:hint="eastAsia" w:ascii="仿宋_GB2312" w:hAnsi="仿宋_GB2312" w:eastAsia="仿宋_GB2312" w:cs="仿宋_GB2312"/>
          <w:i w:val="0"/>
          <w:iCs w:val="0"/>
          <w:snapToGrid/>
          <w:kern w:val="2"/>
          <w:sz w:val="32"/>
          <w:szCs w:val="32"/>
          <w:u w:val="none"/>
          <w:lang w:val="en-US" w:eastAsia="zh-CN"/>
        </w:rPr>
        <w:t>1.总体目标</w:t>
      </w:r>
    </w:p>
    <w:p w14:paraId="0CD9FDC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i w:val="0"/>
          <w:iCs w:val="0"/>
          <w:snapToGrid/>
          <w:kern w:val="2"/>
          <w:sz w:val="32"/>
          <w:szCs w:val="32"/>
          <w:u w:val="none"/>
          <w:lang w:val="en-US" w:eastAsia="zh-CN"/>
        </w:rPr>
      </w:pPr>
      <w:r>
        <w:rPr>
          <w:rFonts w:hint="eastAsia" w:ascii="仿宋_GB2312" w:hAnsi="仿宋_GB2312" w:eastAsia="仿宋_GB2312" w:cs="仿宋_GB2312"/>
          <w:i w:val="0"/>
          <w:iCs w:val="0"/>
          <w:snapToGrid/>
          <w:kern w:val="2"/>
          <w:sz w:val="32"/>
          <w:szCs w:val="32"/>
          <w:u w:val="none"/>
          <w:lang w:val="en-US" w:eastAsia="zh-CN"/>
        </w:rPr>
        <w:t>编制地方标准《北京市农村供水工程标准化管理评价导则》, 健全完善农村供水工程运行管理工作制度，推进农村供水工程标准化管理；对农村供水典型消毒设施消毒效果进行评估，为各供水单位消毒设备选型提供支撑，进一步促进农村供水设施消毒效果提升，提高农村饮用水水质合格率；制作村庄供水站标准化改造建筑典型图集，为北京市村庄供水站井房标准化改造提供技术支撑；开展农村供水监督检查、农村供水技术培训等工作。</w:t>
      </w:r>
    </w:p>
    <w:p w14:paraId="7ACAE06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i w:val="0"/>
          <w:iCs w:val="0"/>
          <w:snapToGrid/>
          <w:kern w:val="2"/>
          <w:sz w:val="32"/>
          <w:szCs w:val="32"/>
          <w:u w:val="none"/>
          <w:lang w:val="en-US" w:eastAsia="zh-CN"/>
        </w:rPr>
      </w:pPr>
      <w:r>
        <w:rPr>
          <w:rFonts w:hint="eastAsia" w:ascii="仿宋_GB2312" w:hAnsi="仿宋_GB2312" w:eastAsia="仿宋_GB2312" w:cs="仿宋_GB2312"/>
          <w:i w:val="0"/>
          <w:iCs w:val="0"/>
          <w:snapToGrid/>
          <w:kern w:val="2"/>
          <w:sz w:val="32"/>
          <w:szCs w:val="32"/>
          <w:u w:val="none"/>
          <w:lang w:val="en-US" w:eastAsia="zh-CN"/>
        </w:rPr>
        <w:t>2.绩效指标</w:t>
      </w:r>
    </w:p>
    <w:p w14:paraId="34A86166">
      <w:pPr>
        <w:spacing w:before="45" w:line="222" w:lineRule="auto"/>
        <w:ind w:left="754"/>
        <w:jc w:val="center"/>
        <w:rPr>
          <w:rFonts w:hint="eastAsia" w:ascii="仿宋" w:hAnsi="仿宋" w:eastAsia="仿宋" w:cs="仿宋"/>
          <w:sz w:val="31"/>
          <w:szCs w:val="31"/>
          <w:highlight w:val="none"/>
          <w:lang w:eastAsia="zh-CN"/>
        </w:rPr>
      </w:pPr>
      <w:r>
        <w:rPr>
          <w:rFonts w:ascii="仿宋" w:hAnsi="仿宋" w:eastAsia="仿宋" w:cs="仿宋"/>
          <w:b/>
          <w:bCs/>
          <w:spacing w:val="4"/>
          <w:sz w:val="31"/>
          <w:szCs w:val="31"/>
          <w:highlight w:val="none"/>
        </w:rPr>
        <w:t>项目指标一览表</w:t>
      </w:r>
    </w:p>
    <w:p w14:paraId="0A2EF154">
      <w:pPr>
        <w:spacing w:line="105" w:lineRule="exact"/>
        <w:rPr>
          <w:highlight w:val="none"/>
        </w:rPr>
      </w:pPr>
    </w:p>
    <w:tbl>
      <w:tblPr>
        <w:tblStyle w:val="6"/>
        <w:tblW w:w="898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23"/>
        <w:gridCol w:w="1268"/>
        <w:gridCol w:w="4229"/>
        <w:gridCol w:w="1969"/>
      </w:tblGrid>
      <w:tr w14:paraId="7D5A32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4" w:hRule="atLeast"/>
        </w:trPr>
        <w:tc>
          <w:tcPr>
            <w:tcW w:w="1523" w:type="dxa"/>
            <w:vAlign w:val="top"/>
          </w:tcPr>
          <w:p w14:paraId="28B23BFB">
            <w:pPr>
              <w:pStyle w:val="7"/>
              <w:spacing w:before="45" w:line="199" w:lineRule="auto"/>
              <w:ind w:left="275"/>
              <w:rPr>
                <w:b/>
                <w:bCs/>
                <w:highlight w:val="none"/>
              </w:rPr>
            </w:pPr>
            <w:r>
              <w:rPr>
                <w:b/>
                <w:bCs/>
                <w:spacing w:val="2"/>
                <w:highlight w:val="none"/>
              </w:rPr>
              <w:t>一级指标</w:t>
            </w:r>
          </w:p>
        </w:tc>
        <w:tc>
          <w:tcPr>
            <w:tcW w:w="1268" w:type="dxa"/>
            <w:vAlign w:val="top"/>
          </w:tcPr>
          <w:p w14:paraId="49A3E8B3">
            <w:pPr>
              <w:pStyle w:val="7"/>
              <w:spacing w:before="42" w:line="201" w:lineRule="auto"/>
              <w:ind w:left="145"/>
              <w:rPr>
                <w:b/>
                <w:bCs/>
                <w:highlight w:val="none"/>
              </w:rPr>
            </w:pPr>
            <w:r>
              <w:rPr>
                <w:b/>
                <w:bCs/>
                <w:spacing w:val="-5"/>
                <w:highlight w:val="none"/>
              </w:rPr>
              <w:t>二级指标</w:t>
            </w:r>
          </w:p>
        </w:tc>
        <w:tc>
          <w:tcPr>
            <w:tcW w:w="4229" w:type="dxa"/>
            <w:vAlign w:val="top"/>
          </w:tcPr>
          <w:p w14:paraId="1F09256F">
            <w:pPr>
              <w:pStyle w:val="7"/>
              <w:spacing w:before="45" w:line="199" w:lineRule="auto"/>
              <w:ind w:left="1833"/>
              <w:rPr>
                <w:b/>
                <w:bCs/>
                <w:highlight w:val="none"/>
              </w:rPr>
            </w:pPr>
            <w:r>
              <w:rPr>
                <w:b/>
                <w:bCs/>
                <w:spacing w:val="-2"/>
                <w:highlight w:val="none"/>
              </w:rPr>
              <w:t>三级指标</w:t>
            </w:r>
          </w:p>
        </w:tc>
        <w:tc>
          <w:tcPr>
            <w:tcW w:w="1969" w:type="dxa"/>
            <w:vAlign w:val="top"/>
          </w:tcPr>
          <w:p w14:paraId="2B9E52B6">
            <w:pPr>
              <w:pStyle w:val="7"/>
              <w:spacing w:before="45" w:line="199" w:lineRule="auto"/>
              <w:ind w:left="168"/>
              <w:rPr>
                <w:b/>
                <w:bCs/>
                <w:highlight w:val="none"/>
              </w:rPr>
            </w:pPr>
            <w:r>
              <w:rPr>
                <w:b/>
                <w:bCs/>
                <w:spacing w:val="-2"/>
                <w:highlight w:val="none"/>
              </w:rPr>
              <w:t>年度指标值</w:t>
            </w:r>
          </w:p>
        </w:tc>
      </w:tr>
      <w:tr w14:paraId="44BDBF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1523" w:type="dxa"/>
            <w:vMerge w:val="restart"/>
            <w:tcBorders>
              <w:bottom w:val="nil"/>
            </w:tcBorders>
            <w:vAlign w:val="center"/>
          </w:tcPr>
          <w:p w14:paraId="3FE026BA">
            <w:pPr>
              <w:pStyle w:val="7"/>
              <w:spacing w:before="78" w:line="219" w:lineRule="auto"/>
              <w:ind w:left="0"/>
              <w:jc w:val="center"/>
              <w:rPr>
                <w:highlight w:val="none"/>
              </w:rPr>
            </w:pPr>
            <w:r>
              <w:rPr>
                <w:spacing w:val="-2"/>
                <w:highlight w:val="none"/>
              </w:rPr>
              <w:t>产出指标</w:t>
            </w:r>
          </w:p>
        </w:tc>
        <w:tc>
          <w:tcPr>
            <w:tcW w:w="1268" w:type="dxa"/>
            <w:vAlign w:val="center"/>
          </w:tcPr>
          <w:p w14:paraId="47BECD92">
            <w:pPr>
              <w:pStyle w:val="7"/>
              <w:spacing w:before="201" w:line="219" w:lineRule="auto"/>
              <w:ind w:left="142"/>
              <w:jc w:val="center"/>
              <w:rPr>
                <w:highlight w:val="none"/>
              </w:rPr>
            </w:pPr>
            <w:r>
              <w:rPr>
                <w:spacing w:val="2"/>
                <w:highlight w:val="none"/>
              </w:rPr>
              <w:t>数量指标</w:t>
            </w:r>
          </w:p>
        </w:tc>
        <w:tc>
          <w:tcPr>
            <w:tcW w:w="4229" w:type="dxa"/>
            <w:vAlign w:val="top"/>
          </w:tcPr>
          <w:p w14:paraId="74E3420C">
            <w:pPr>
              <w:pStyle w:val="7"/>
              <w:spacing w:before="39" w:line="223" w:lineRule="auto"/>
              <w:ind w:left="94" w:right="210"/>
              <w:rPr>
                <w:highlight w:val="none"/>
              </w:rPr>
            </w:pPr>
            <w:r>
              <w:rPr>
                <w:highlight w:val="none"/>
              </w:rPr>
              <w:t>编制北京市农村供水工程标准化管理评价</w:t>
            </w:r>
            <w:r>
              <w:rPr>
                <w:spacing w:val="5"/>
                <w:highlight w:val="none"/>
              </w:rPr>
              <w:t>技术导则</w:t>
            </w:r>
          </w:p>
        </w:tc>
        <w:tc>
          <w:tcPr>
            <w:tcW w:w="1969" w:type="dxa"/>
            <w:vAlign w:val="center"/>
          </w:tcPr>
          <w:p w14:paraId="01F43B42">
            <w:pPr>
              <w:pStyle w:val="7"/>
              <w:spacing w:before="201" w:line="220" w:lineRule="auto"/>
              <w:ind w:left="0"/>
              <w:jc w:val="center"/>
              <w:rPr>
                <w:highlight w:val="none"/>
              </w:rPr>
            </w:pPr>
            <w:r>
              <w:rPr>
                <w:spacing w:val="6"/>
                <w:highlight w:val="none"/>
              </w:rPr>
              <w:t>1套</w:t>
            </w:r>
          </w:p>
        </w:tc>
      </w:tr>
      <w:tr w14:paraId="2AFA23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0" w:hRule="atLeast"/>
        </w:trPr>
        <w:tc>
          <w:tcPr>
            <w:tcW w:w="1523" w:type="dxa"/>
            <w:vMerge w:val="continue"/>
            <w:tcBorders>
              <w:top w:val="nil"/>
              <w:bottom w:val="nil"/>
            </w:tcBorders>
            <w:vAlign w:val="center"/>
          </w:tcPr>
          <w:p w14:paraId="1C1DCD5B">
            <w:pPr>
              <w:jc w:val="center"/>
              <w:rPr>
                <w:rFonts w:ascii="Arial"/>
                <w:sz w:val="21"/>
                <w:highlight w:val="none"/>
              </w:rPr>
            </w:pPr>
          </w:p>
        </w:tc>
        <w:tc>
          <w:tcPr>
            <w:tcW w:w="1268" w:type="dxa"/>
            <w:vAlign w:val="center"/>
          </w:tcPr>
          <w:p w14:paraId="707876DF">
            <w:pPr>
              <w:pStyle w:val="7"/>
              <w:spacing w:before="42" w:line="206" w:lineRule="auto"/>
              <w:ind w:left="142"/>
              <w:jc w:val="center"/>
              <w:rPr>
                <w:highlight w:val="none"/>
              </w:rPr>
            </w:pPr>
            <w:r>
              <w:rPr>
                <w:spacing w:val="2"/>
                <w:highlight w:val="none"/>
              </w:rPr>
              <w:t>数量指标</w:t>
            </w:r>
          </w:p>
        </w:tc>
        <w:tc>
          <w:tcPr>
            <w:tcW w:w="4229" w:type="dxa"/>
            <w:vAlign w:val="top"/>
          </w:tcPr>
          <w:p w14:paraId="29743AB0">
            <w:pPr>
              <w:pStyle w:val="7"/>
              <w:spacing w:before="40" w:line="207" w:lineRule="auto"/>
              <w:ind w:left="94"/>
              <w:rPr>
                <w:highlight w:val="none"/>
              </w:rPr>
            </w:pPr>
            <w:r>
              <w:rPr>
                <w:spacing w:val="-2"/>
                <w:highlight w:val="none"/>
              </w:rPr>
              <w:t>供水设施检查数量</w:t>
            </w:r>
          </w:p>
        </w:tc>
        <w:tc>
          <w:tcPr>
            <w:tcW w:w="1969" w:type="dxa"/>
            <w:vAlign w:val="center"/>
          </w:tcPr>
          <w:p w14:paraId="38B8C1FF">
            <w:pPr>
              <w:pStyle w:val="7"/>
              <w:spacing w:before="47" w:line="202" w:lineRule="auto"/>
              <w:ind w:left="0"/>
              <w:jc w:val="center"/>
              <w:rPr>
                <w:highlight w:val="none"/>
              </w:rPr>
            </w:pPr>
            <w:r>
              <w:rPr>
                <w:spacing w:val="2"/>
                <w:highlight w:val="none"/>
              </w:rPr>
              <w:t>300处</w:t>
            </w:r>
          </w:p>
        </w:tc>
      </w:tr>
      <w:tr w14:paraId="13E050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atLeast"/>
        </w:trPr>
        <w:tc>
          <w:tcPr>
            <w:tcW w:w="1523" w:type="dxa"/>
            <w:vMerge w:val="continue"/>
            <w:tcBorders>
              <w:top w:val="nil"/>
              <w:bottom w:val="nil"/>
            </w:tcBorders>
            <w:vAlign w:val="center"/>
          </w:tcPr>
          <w:p w14:paraId="65D1C63F">
            <w:pPr>
              <w:jc w:val="center"/>
              <w:rPr>
                <w:rFonts w:ascii="Arial"/>
                <w:sz w:val="21"/>
                <w:highlight w:val="none"/>
              </w:rPr>
            </w:pPr>
          </w:p>
        </w:tc>
        <w:tc>
          <w:tcPr>
            <w:tcW w:w="1268" w:type="dxa"/>
            <w:vAlign w:val="center"/>
          </w:tcPr>
          <w:p w14:paraId="7CC92235">
            <w:pPr>
              <w:pStyle w:val="7"/>
              <w:spacing w:before="41" w:line="199" w:lineRule="auto"/>
              <w:ind w:left="142"/>
              <w:jc w:val="center"/>
              <w:rPr>
                <w:highlight w:val="none"/>
              </w:rPr>
            </w:pPr>
            <w:r>
              <w:rPr>
                <w:spacing w:val="2"/>
                <w:highlight w:val="none"/>
              </w:rPr>
              <w:t>数量指标</w:t>
            </w:r>
          </w:p>
        </w:tc>
        <w:tc>
          <w:tcPr>
            <w:tcW w:w="4229" w:type="dxa"/>
            <w:vAlign w:val="top"/>
          </w:tcPr>
          <w:p w14:paraId="278E3492">
            <w:pPr>
              <w:pStyle w:val="7"/>
              <w:spacing w:before="41" w:line="199" w:lineRule="auto"/>
              <w:ind w:left="94"/>
              <w:rPr>
                <w:highlight w:val="none"/>
              </w:rPr>
            </w:pPr>
            <w:r>
              <w:rPr>
                <w:spacing w:val="-2"/>
                <w:highlight w:val="none"/>
              </w:rPr>
              <w:t>培训数量</w:t>
            </w:r>
          </w:p>
        </w:tc>
        <w:tc>
          <w:tcPr>
            <w:tcW w:w="1969" w:type="dxa"/>
            <w:vAlign w:val="center"/>
          </w:tcPr>
          <w:p w14:paraId="4A037671">
            <w:pPr>
              <w:pStyle w:val="7"/>
              <w:spacing w:before="41" w:line="199" w:lineRule="auto"/>
              <w:ind w:left="0"/>
              <w:jc w:val="center"/>
              <w:rPr>
                <w:highlight w:val="none"/>
              </w:rPr>
            </w:pPr>
            <w:r>
              <w:rPr>
                <w:spacing w:val="4"/>
                <w:highlight w:val="none"/>
              </w:rPr>
              <w:t>1次</w:t>
            </w:r>
          </w:p>
        </w:tc>
      </w:tr>
      <w:tr w14:paraId="0E0846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atLeast"/>
        </w:trPr>
        <w:tc>
          <w:tcPr>
            <w:tcW w:w="1523" w:type="dxa"/>
            <w:vMerge w:val="continue"/>
            <w:tcBorders>
              <w:top w:val="nil"/>
              <w:bottom w:val="nil"/>
            </w:tcBorders>
            <w:vAlign w:val="center"/>
          </w:tcPr>
          <w:p w14:paraId="1909AC89">
            <w:pPr>
              <w:jc w:val="center"/>
              <w:rPr>
                <w:rFonts w:ascii="Arial"/>
                <w:sz w:val="21"/>
                <w:highlight w:val="none"/>
              </w:rPr>
            </w:pPr>
          </w:p>
        </w:tc>
        <w:tc>
          <w:tcPr>
            <w:tcW w:w="1268" w:type="dxa"/>
            <w:vAlign w:val="center"/>
          </w:tcPr>
          <w:p w14:paraId="372373D3">
            <w:pPr>
              <w:pStyle w:val="7"/>
              <w:spacing w:before="42" w:line="198" w:lineRule="auto"/>
              <w:ind w:left="142"/>
              <w:jc w:val="center"/>
              <w:rPr>
                <w:highlight w:val="none"/>
              </w:rPr>
            </w:pPr>
            <w:r>
              <w:rPr>
                <w:spacing w:val="2"/>
                <w:highlight w:val="none"/>
              </w:rPr>
              <w:t>数量指标</w:t>
            </w:r>
          </w:p>
        </w:tc>
        <w:tc>
          <w:tcPr>
            <w:tcW w:w="4229" w:type="dxa"/>
            <w:vAlign w:val="top"/>
          </w:tcPr>
          <w:p w14:paraId="6CE14EB6">
            <w:pPr>
              <w:pStyle w:val="7"/>
              <w:spacing w:before="41" w:line="199" w:lineRule="auto"/>
              <w:ind w:left="94"/>
              <w:rPr>
                <w:highlight w:val="none"/>
              </w:rPr>
            </w:pPr>
            <w:r>
              <w:rPr>
                <w:spacing w:val="-1"/>
                <w:highlight w:val="none"/>
              </w:rPr>
              <w:t>制作典型村庄供水站标准化改造图集</w:t>
            </w:r>
          </w:p>
        </w:tc>
        <w:tc>
          <w:tcPr>
            <w:tcW w:w="1969" w:type="dxa"/>
            <w:vAlign w:val="center"/>
          </w:tcPr>
          <w:p w14:paraId="25F2DAC6">
            <w:pPr>
              <w:pStyle w:val="7"/>
              <w:spacing w:before="43" w:line="197" w:lineRule="auto"/>
              <w:ind w:left="0"/>
              <w:jc w:val="center"/>
              <w:rPr>
                <w:highlight w:val="none"/>
              </w:rPr>
            </w:pPr>
            <w:r>
              <w:rPr>
                <w:spacing w:val="6"/>
                <w:highlight w:val="none"/>
              </w:rPr>
              <w:t>1套</w:t>
            </w:r>
          </w:p>
        </w:tc>
      </w:tr>
      <w:tr w14:paraId="345578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1523" w:type="dxa"/>
            <w:vMerge w:val="continue"/>
            <w:tcBorders>
              <w:top w:val="nil"/>
              <w:bottom w:val="nil"/>
            </w:tcBorders>
            <w:vAlign w:val="center"/>
          </w:tcPr>
          <w:p w14:paraId="5C576920">
            <w:pPr>
              <w:jc w:val="center"/>
              <w:rPr>
                <w:rFonts w:ascii="Arial"/>
                <w:sz w:val="21"/>
                <w:highlight w:val="none"/>
              </w:rPr>
            </w:pPr>
          </w:p>
        </w:tc>
        <w:tc>
          <w:tcPr>
            <w:tcW w:w="1268" w:type="dxa"/>
            <w:vAlign w:val="center"/>
          </w:tcPr>
          <w:p w14:paraId="5A3BF55C">
            <w:pPr>
              <w:pStyle w:val="7"/>
              <w:spacing w:before="203" w:line="220" w:lineRule="auto"/>
              <w:ind w:left="142"/>
              <w:jc w:val="center"/>
              <w:rPr>
                <w:highlight w:val="none"/>
              </w:rPr>
            </w:pPr>
            <w:r>
              <w:rPr>
                <w:spacing w:val="-2"/>
                <w:highlight w:val="none"/>
              </w:rPr>
              <w:t>质量指标</w:t>
            </w:r>
          </w:p>
        </w:tc>
        <w:tc>
          <w:tcPr>
            <w:tcW w:w="4229" w:type="dxa"/>
            <w:vAlign w:val="top"/>
          </w:tcPr>
          <w:p w14:paraId="50AC9EA6">
            <w:pPr>
              <w:pStyle w:val="7"/>
              <w:spacing w:before="52" w:line="218" w:lineRule="auto"/>
              <w:ind w:left="94" w:right="209"/>
              <w:rPr>
                <w:highlight w:val="none"/>
              </w:rPr>
            </w:pPr>
            <w:r>
              <w:rPr>
                <w:highlight w:val="none"/>
              </w:rPr>
              <w:t>北京市农村供水工程标准化管理评价技术</w:t>
            </w:r>
            <w:r>
              <w:rPr>
                <w:spacing w:val="1"/>
                <w:highlight w:val="none"/>
              </w:rPr>
              <w:t>导则专家通过率</w:t>
            </w:r>
          </w:p>
        </w:tc>
        <w:tc>
          <w:tcPr>
            <w:tcW w:w="1969" w:type="dxa"/>
            <w:vAlign w:val="center"/>
          </w:tcPr>
          <w:p w14:paraId="224A509C">
            <w:pPr>
              <w:pStyle w:val="7"/>
              <w:spacing w:before="226"/>
              <w:ind w:left="0"/>
              <w:jc w:val="center"/>
              <w:rPr>
                <w:highlight w:val="none"/>
              </w:rPr>
            </w:pPr>
            <w:r>
              <w:rPr>
                <w:spacing w:val="-6"/>
                <w:highlight w:val="none"/>
              </w:rPr>
              <w:t>100%</w:t>
            </w:r>
          </w:p>
        </w:tc>
      </w:tr>
      <w:tr w14:paraId="54B231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1523" w:type="dxa"/>
            <w:vMerge w:val="continue"/>
            <w:tcBorders>
              <w:top w:val="nil"/>
              <w:bottom w:val="nil"/>
            </w:tcBorders>
            <w:vAlign w:val="center"/>
          </w:tcPr>
          <w:p w14:paraId="17B88D73">
            <w:pPr>
              <w:jc w:val="center"/>
              <w:rPr>
                <w:rFonts w:ascii="Arial"/>
                <w:sz w:val="21"/>
                <w:highlight w:val="none"/>
              </w:rPr>
            </w:pPr>
          </w:p>
        </w:tc>
        <w:tc>
          <w:tcPr>
            <w:tcW w:w="1268" w:type="dxa"/>
            <w:vAlign w:val="center"/>
          </w:tcPr>
          <w:p w14:paraId="3013CEC4">
            <w:pPr>
              <w:pStyle w:val="7"/>
              <w:spacing w:before="205" w:line="220" w:lineRule="auto"/>
              <w:ind w:left="142"/>
              <w:jc w:val="center"/>
              <w:rPr>
                <w:highlight w:val="none"/>
              </w:rPr>
            </w:pPr>
            <w:r>
              <w:rPr>
                <w:spacing w:val="-2"/>
                <w:highlight w:val="none"/>
              </w:rPr>
              <w:t>质量指标</w:t>
            </w:r>
          </w:p>
        </w:tc>
        <w:tc>
          <w:tcPr>
            <w:tcW w:w="4229" w:type="dxa"/>
            <w:vAlign w:val="top"/>
          </w:tcPr>
          <w:p w14:paraId="595B3668">
            <w:pPr>
              <w:pStyle w:val="7"/>
              <w:spacing w:before="41" w:line="222" w:lineRule="auto"/>
              <w:ind w:left="94" w:right="204"/>
              <w:rPr>
                <w:highlight w:val="none"/>
              </w:rPr>
            </w:pPr>
            <w:r>
              <w:rPr>
                <w:highlight w:val="none"/>
              </w:rPr>
              <w:t>农村供水典型消毒设施消毒效果评估报告</w:t>
            </w:r>
            <w:r>
              <w:rPr>
                <w:spacing w:val="1"/>
                <w:highlight w:val="none"/>
              </w:rPr>
              <w:t>专家评审通过率</w:t>
            </w:r>
          </w:p>
        </w:tc>
        <w:tc>
          <w:tcPr>
            <w:tcW w:w="1969" w:type="dxa"/>
            <w:vAlign w:val="center"/>
          </w:tcPr>
          <w:p w14:paraId="271959B6">
            <w:pPr>
              <w:pStyle w:val="7"/>
              <w:spacing w:before="228"/>
              <w:ind w:left="0"/>
              <w:jc w:val="center"/>
              <w:rPr>
                <w:highlight w:val="none"/>
              </w:rPr>
            </w:pPr>
            <w:r>
              <w:rPr>
                <w:spacing w:val="-6"/>
                <w:highlight w:val="none"/>
              </w:rPr>
              <w:t>100%</w:t>
            </w:r>
          </w:p>
        </w:tc>
      </w:tr>
      <w:tr w14:paraId="5A7650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0" w:hRule="atLeast"/>
        </w:trPr>
        <w:tc>
          <w:tcPr>
            <w:tcW w:w="1523" w:type="dxa"/>
            <w:vMerge w:val="continue"/>
            <w:tcBorders>
              <w:top w:val="nil"/>
            </w:tcBorders>
            <w:vAlign w:val="center"/>
          </w:tcPr>
          <w:p w14:paraId="7585861F">
            <w:pPr>
              <w:jc w:val="center"/>
              <w:rPr>
                <w:rFonts w:ascii="Arial"/>
                <w:sz w:val="21"/>
                <w:highlight w:val="none"/>
              </w:rPr>
            </w:pPr>
          </w:p>
        </w:tc>
        <w:tc>
          <w:tcPr>
            <w:tcW w:w="1268" w:type="dxa"/>
            <w:vAlign w:val="center"/>
          </w:tcPr>
          <w:p w14:paraId="0597E9EC">
            <w:pPr>
              <w:pStyle w:val="7"/>
              <w:spacing w:before="47" w:line="202" w:lineRule="auto"/>
              <w:ind w:left="142"/>
              <w:jc w:val="center"/>
              <w:rPr>
                <w:highlight w:val="none"/>
              </w:rPr>
            </w:pPr>
            <w:r>
              <w:rPr>
                <w:spacing w:val="2"/>
                <w:highlight w:val="none"/>
              </w:rPr>
              <w:t>时效指标</w:t>
            </w:r>
          </w:p>
        </w:tc>
        <w:tc>
          <w:tcPr>
            <w:tcW w:w="4229" w:type="dxa"/>
            <w:vAlign w:val="top"/>
          </w:tcPr>
          <w:p w14:paraId="5825DE9F">
            <w:pPr>
              <w:pStyle w:val="7"/>
              <w:spacing w:before="46" w:line="203" w:lineRule="auto"/>
              <w:ind w:left="94"/>
              <w:rPr>
                <w:highlight w:val="none"/>
              </w:rPr>
            </w:pPr>
            <w:r>
              <w:rPr>
                <w:spacing w:val="3"/>
                <w:highlight w:val="none"/>
              </w:rPr>
              <w:t>项目完成时间</w:t>
            </w:r>
          </w:p>
        </w:tc>
        <w:tc>
          <w:tcPr>
            <w:tcW w:w="1969" w:type="dxa"/>
            <w:vAlign w:val="center"/>
          </w:tcPr>
          <w:p w14:paraId="1A208832">
            <w:pPr>
              <w:pStyle w:val="7"/>
              <w:spacing w:before="46" w:line="203" w:lineRule="auto"/>
              <w:ind w:left="0"/>
              <w:jc w:val="center"/>
              <w:rPr>
                <w:highlight w:val="none"/>
              </w:rPr>
            </w:pPr>
            <w:r>
              <w:rPr>
                <w:spacing w:val="16"/>
                <w:highlight w:val="none"/>
              </w:rPr>
              <w:t>12月</w:t>
            </w:r>
          </w:p>
        </w:tc>
      </w:tr>
      <w:tr w14:paraId="10B557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9" w:hRule="atLeast"/>
        </w:trPr>
        <w:tc>
          <w:tcPr>
            <w:tcW w:w="1523" w:type="dxa"/>
            <w:vAlign w:val="top"/>
          </w:tcPr>
          <w:p w14:paraId="3DB1B908">
            <w:pPr>
              <w:pStyle w:val="7"/>
              <w:spacing w:before="197" w:line="220" w:lineRule="auto"/>
              <w:ind w:left="275"/>
              <w:rPr>
                <w:highlight w:val="none"/>
              </w:rPr>
            </w:pPr>
            <w:r>
              <w:rPr>
                <w:spacing w:val="2"/>
                <w:highlight w:val="none"/>
              </w:rPr>
              <w:t>效益指标</w:t>
            </w:r>
          </w:p>
        </w:tc>
        <w:tc>
          <w:tcPr>
            <w:tcW w:w="1268" w:type="dxa"/>
            <w:vAlign w:val="top"/>
          </w:tcPr>
          <w:p w14:paraId="4B29FF04">
            <w:pPr>
              <w:pStyle w:val="7"/>
              <w:spacing w:before="55" w:line="219" w:lineRule="auto"/>
              <w:ind w:left="142"/>
              <w:rPr>
                <w:highlight w:val="none"/>
              </w:rPr>
            </w:pPr>
            <w:r>
              <w:rPr>
                <w:spacing w:val="2"/>
                <w:highlight w:val="none"/>
              </w:rPr>
              <w:t>社会效益</w:t>
            </w:r>
          </w:p>
          <w:p w14:paraId="30A30697">
            <w:pPr>
              <w:pStyle w:val="7"/>
              <w:spacing w:before="7" w:line="201" w:lineRule="auto"/>
              <w:ind w:left="381"/>
              <w:rPr>
                <w:highlight w:val="none"/>
              </w:rPr>
            </w:pPr>
            <w:r>
              <w:rPr>
                <w:spacing w:val="4"/>
                <w:highlight w:val="none"/>
              </w:rPr>
              <w:t>指标</w:t>
            </w:r>
          </w:p>
        </w:tc>
        <w:tc>
          <w:tcPr>
            <w:tcW w:w="4229" w:type="dxa"/>
            <w:vAlign w:val="top"/>
          </w:tcPr>
          <w:p w14:paraId="445D7758">
            <w:pPr>
              <w:pStyle w:val="7"/>
              <w:spacing w:before="195" w:line="219" w:lineRule="auto"/>
              <w:ind w:left="94"/>
              <w:rPr>
                <w:highlight w:val="none"/>
              </w:rPr>
            </w:pPr>
            <w:r>
              <w:rPr>
                <w:spacing w:val="-1"/>
                <w:highlight w:val="none"/>
              </w:rPr>
              <w:t>进一步规范供水设施运行</w:t>
            </w:r>
          </w:p>
        </w:tc>
        <w:tc>
          <w:tcPr>
            <w:tcW w:w="1969" w:type="dxa"/>
            <w:vAlign w:val="center"/>
          </w:tcPr>
          <w:p w14:paraId="3AF82AAC">
            <w:pPr>
              <w:pStyle w:val="7"/>
              <w:spacing w:before="197" w:line="219" w:lineRule="auto"/>
              <w:ind w:left="0"/>
              <w:jc w:val="center"/>
              <w:rPr>
                <w:highlight w:val="none"/>
              </w:rPr>
            </w:pPr>
            <w:r>
              <w:rPr>
                <w:highlight w:val="none"/>
              </w:rPr>
              <w:t>优</w:t>
            </w:r>
          </w:p>
        </w:tc>
      </w:tr>
      <w:tr w14:paraId="2A34D2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6" w:hRule="atLeast"/>
        </w:trPr>
        <w:tc>
          <w:tcPr>
            <w:tcW w:w="1523" w:type="dxa"/>
            <w:vMerge w:val="restart"/>
            <w:tcBorders>
              <w:bottom w:val="nil"/>
            </w:tcBorders>
            <w:vAlign w:val="top"/>
          </w:tcPr>
          <w:p w14:paraId="66EAA9E4">
            <w:pPr>
              <w:spacing w:line="436" w:lineRule="auto"/>
              <w:rPr>
                <w:rFonts w:ascii="Arial"/>
                <w:sz w:val="21"/>
                <w:highlight w:val="none"/>
              </w:rPr>
            </w:pPr>
          </w:p>
          <w:p w14:paraId="29802DC7">
            <w:pPr>
              <w:pStyle w:val="7"/>
              <w:spacing w:before="78" w:line="219" w:lineRule="auto"/>
              <w:ind w:left="275"/>
              <w:rPr>
                <w:highlight w:val="none"/>
              </w:rPr>
            </w:pPr>
            <w:r>
              <w:rPr>
                <w:spacing w:val="2"/>
                <w:highlight w:val="none"/>
              </w:rPr>
              <w:t>成本指标</w:t>
            </w:r>
          </w:p>
        </w:tc>
        <w:tc>
          <w:tcPr>
            <w:tcW w:w="1268" w:type="dxa"/>
            <w:vAlign w:val="top"/>
          </w:tcPr>
          <w:p w14:paraId="4B6B5260">
            <w:pPr>
              <w:pStyle w:val="7"/>
              <w:spacing w:before="37" w:line="219" w:lineRule="auto"/>
              <w:ind w:left="142"/>
              <w:rPr>
                <w:highlight w:val="none"/>
              </w:rPr>
            </w:pPr>
            <w:r>
              <w:rPr>
                <w:spacing w:val="2"/>
                <w:highlight w:val="none"/>
              </w:rPr>
              <w:t>经济成本</w:t>
            </w:r>
          </w:p>
          <w:p w14:paraId="3B496831">
            <w:pPr>
              <w:pStyle w:val="7"/>
              <w:spacing w:before="36" w:line="200" w:lineRule="auto"/>
              <w:ind w:left="381"/>
              <w:rPr>
                <w:highlight w:val="none"/>
              </w:rPr>
            </w:pPr>
            <w:r>
              <w:rPr>
                <w:spacing w:val="4"/>
                <w:highlight w:val="none"/>
              </w:rPr>
              <w:t>指标</w:t>
            </w:r>
          </w:p>
        </w:tc>
        <w:tc>
          <w:tcPr>
            <w:tcW w:w="4229" w:type="dxa"/>
            <w:vAlign w:val="top"/>
          </w:tcPr>
          <w:p w14:paraId="79CBB9D2">
            <w:pPr>
              <w:pStyle w:val="7"/>
              <w:spacing w:before="207" w:line="219" w:lineRule="auto"/>
              <w:ind w:left="94"/>
              <w:rPr>
                <w:highlight w:val="none"/>
              </w:rPr>
            </w:pPr>
            <w:r>
              <w:rPr>
                <w:spacing w:val="2"/>
                <w:highlight w:val="none"/>
              </w:rPr>
              <w:t>项目总成本</w:t>
            </w:r>
          </w:p>
        </w:tc>
        <w:tc>
          <w:tcPr>
            <w:tcW w:w="1969" w:type="dxa"/>
            <w:vAlign w:val="center"/>
          </w:tcPr>
          <w:p w14:paraId="644BD56A">
            <w:pPr>
              <w:pStyle w:val="7"/>
              <w:spacing w:before="70" w:line="211" w:lineRule="auto"/>
              <w:ind w:left="0" w:right="159" w:firstLine="0"/>
              <w:jc w:val="center"/>
              <w:rPr>
                <w:highlight w:val="none"/>
              </w:rPr>
            </w:pPr>
            <w:r>
              <w:rPr>
                <w:spacing w:val="1"/>
                <w:highlight w:val="none"/>
              </w:rPr>
              <w:t>128.3262万</w:t>
            </w:r>
            <w:r>
              <w:rPr>
                <w:highlight w:val="none"/>
              </w:rPr>
              <w:t>元</w:t>
            </w:r>
          </w:p>
        </w:tc>
      </w:tr>
      <w:tr w14:paraId="631D83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523" w:type="dxa"/>
            <w:vMerge w:val="continue"/>
            <w:tcBorders>
              <w:top w:val="nil"/>
            </w:tcBorders>
            <w:vAlign w:val="top"/>
          </w:tcPr>
          <w:p w14:paraId="4F3A7399">
            <w:pPr>
              <w:rPr>
                <w:rFonts w:ascii="Arial"/>
                <w:sz w:val="21"/>
                <w:highlight w:val="none"/>
              </w:rPr>
            </w:pPr>
          </w:p>
        </w:tc>
        <w:tc>
          <w:tcPr>
            <w:tcW w:w="1268" w:type="dxa"/>
            <w:vAlign w:val="top"/>
          </w:tcPr>
          <w:p w14:paraId="46A5EBEA">
            <w:pPr>
              <w:pStyle w:val="7"/>
              <w:spacing w:before="48" w:line="219" w:lineRule="auto"/>
              <w:ind w:left="142"/>
              <w:rPr>
                <w:highlight w:val="none"/>
              </w:rPr>
            </w:pPr>
            <w:r>
              <w:rPr>
                <w:spacing w:val="2"/>
                <w:highlight w:val="none"/>
              </w:rPr>
              <w:t>经济成本</w:t>
            </w:r>
          </w:p>
          <w:p w14:paraId="2AC9C564">
            <w:pPr>
              <w:pStyle w:val="7"/>
              <w:spacing w:before="17" w:line="203" w:lineRule="auto"/>
              <w:ind w:left="381"/>
              <w:rPr>
                <w:highlight w:val="none"/>
              </w:rPr>
            </w:pPr>
            <w:r>
              <w:rPr>
                <w:spacing w:val="4"/>
                <w:highlight w:val="none"/>
              </w:rPr>
              <w:t>指标</w:t>
            </w:r>
          </w:p>
        </w:tc>
        <w:tc>
          <w:tcPr>
            <w:tcW w:w="4229" w:type="dxa"/>
            <w:vAlign w:val="top"/>
          </w:tcPr>
          <w:p w14:paraId="4B247E13">
            <w:pPr>
              <w:pStyle w:val="7"/>
              <w:spacing w:before="200" w:line="219" w:lineRule="auto"/>
              <w:ind w:left="94"/>
              <w:rPr>
                <w:highlight w:val="none"/>
              </w:rPr>
            </w:pPr>
            <w:r>
              <w:rPr>
                <w:spacing w:val="2"/>
                <w:highlight w:val="none"/>
              </w:rPr>
              <w:t>预算控制数</w:t>
            </w:r>
          </w:p>
        </w:tc>
        <w:tc>
          <w:tcPr>
            <w:tcW w:w="1969" w:type="dxa"/>
            <w:vAlign w:val="center"/>
          </w:tcPr>
          <w:p w14:paraId="0033F57D">
            <w:pPr>
              <w:pStyle w:val="7"/>
              <w:spacing w:before="200" w:line="220" w:lineRule="auto"/>
              <w:ind w:left="0"/>
              <w:jc w:val="center"/>
              <w:rPr>
                <w:highlight w:val="none"/>
              </w:rPr>
            </w:pPr>
            <w:r>
              <w:rPr>
                <w:spacing w:val="1"/>
                <w:highlight w:val="none"/>
              </w:rPr>
              <w:t>156.022万元</w:t>
            </w:r>
          </w:p>
        </w:tc>
      </w:tr>
    </w:tbl>
    <w:p w14:paraId="1D80B564">
      <w:pPr>
        <w:pStyle w:val="2"/>
        <w:keepNext w:val="0"/>
        <w:keepLines w:val="0"/>
        <w:pageBreakBefore w:val="0"/>
        <w:wordWrap/>
        <w:overflowPunct/>
        <w:topLinePunct w:val="0"/>
        <w:bidi w:val="0"/>
        <w:spacing w:before="44" w:line="560" w:lineRule="exact"/>
        <w:ind w:firstLine="671" w:firstLineChars="200"/>
        <w:outlineLvl w:val="2"/>
        <w:rPr>
          <w:rFonts w:hint="eastAsia"/>
          <w:b/>
          <w:bCs/>
          <w:spacing w:val="7"/>
          <w:sz w:val="32"/>
          <w:szCs w:val="32"/>
          <w:highlight w:val="none"/>
        </w:rPr>
      </w:pPr>
      <w:r>
        <w:rPr>
          <w:rFonts w:hint="eastAsia"/>
          <w:b/>
          <w:bCs/>
          <w:spacing w:val="7"/>
          <w:sz w:val="32"/>
          <w:szCs w:val="32"/>
          <w:highlight w:val="none"/>
        </w:rPr>
        <w:t>二、绩效评价工作开展情况</w:t>
      </w:r>
    </w:p>
    <w:p w14:paraId="17B0ED0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snapToGrid/>
          <w:kern w:val="2"/>
          <w:sz w:val="32"/>
          <w:szCs w:val="32"/>
          <w:lang w:val="en-US" w:eastAsia="zh-CN"/>
        </w:rPr>
      </w:pPr>
      <w:r>
        <w:rPr>
          <w:rFonts w:hint="eastAsia" w:ascii="楷体_GB2312" w:hAnsi="楷体_GB2312" w:eastAsia="楷体_GB2312" w:cs="楷体_GB2312"/>
          <w:snapToGrid/>
          <w:kern w:val="2"/>
          <w:sz w:val="32"/>
          <w:szCs w:val="32"/>
          <w:lang w:val="en-US" w:eastAsia="zh-CN"/>
        </w:rPr>
        <w:t>(一)绩效评价目的、对象和范围。</w:t>
      </w:r>
    </w:p>
    <w:p w14:paraId="3FD9FAE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i w:val="0"/>
          <w:iCs w:val="0"/>
          <w:snapToGrid/>
          <w:kern w:val="2"/>
          <w:sz w:val="32"/>
          <w:szCs w:val="32"/>
          <w:u w:val="none"/>
          <w:lang w:val="en-US" w:eastAsia="zh-CN"/>
        </w:rPr>
      </w:pPr>
      <w:r>
        <w:rPr>
          <w:rFonts w:hint="eastAsia" w:ascii="仿宋_GB2312" w:hAnsi="仿宋_GB2312" w:eastAsia="仿宋_GB2312" w:cs="仿宋_GB2312"/>
          <w:i w:val="0"/>
          <w:iCs w:val="0"/>
          <w:snapToGrid/>
          <w:kern w:val="2"/>
          <w:sz w:val="32"/>
          <w:szCs w:val="32"/>
          <w:u w:val="none"/>
          <w:lang w:val="en-US" w:eastAsia="zh-CN"/>
        </w:rPr>
        <w:t>1.绩效评价目的</w:t>
      </w:r>
    </w:p>
    <w:p w14:paraId="2A8D42B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i w:val="0"/>
          <w:iCs w:val="0"/>
          <w:snapToGrid/>
          <w:kern w:val="2"/>
          <w:sz w:val="32"/>
          <w:szCs w:val="32"/>
          <w:u w:val="none"/>
          <w:lang w:val="en-US" w:eastAsia="zh-CN"/>
        </w:rPr>
      </w:pPr>
      <w:r>
        <w:rPr>
          <w:rFonts w:hint="eastAsia" w:ascii="仿宋_GB2312" w:hAnsi="仿宋_GB2312" w:eastAsia="仿宋_GB2312" w:cs="仿宋_GB2312"/>
          <w:i w:val="0"/>
          <w:iCs w:val="0"/>
          <w:snapToGrid/>
          <w:kern w:val="2"/>
          <w:sz w:val="32"/>
          <w:szCs w:val="32"/>
          <w:u w:val="none"/>
          <w:lang w:val="en-US" w:eastAsia="zh-CN"/>
        </w:rPr>
        <w:t>一是加强预算绩效管理，强化支出责任，提高财政资金使用效益；二是进一步总结和分析财政资金支出效果，了解、分析、检验资金使用是否达到预期目标，资金管理是否规范，资金使用是否有效，考核财政支出效率和综合效果；三是通过绩效评价，促进项目单位总结经验、发现问题、改进工作，进一步加强项目管理。</w:t>
      </w:r>
    </w:p>
    <w:p w14:paraId="234C39C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i w:val="0"/>
          <w:iCs w:val="0"/>
          <w:snapToGrid/>
          <w:kern w:val="2"/>
          <w:sz w:val="32"/>
          <w:szCs w:val="32"/>
          <w:u w:val="none"/>
          <w:lang w:val="en-US" w:eastAsia="zh-CN"/>
        </w:rPr>
      </w:pPr>
      <w:r>
        <w:rPr>
          <w:rFonts w:hint="eastAsia" w:ascii="仿宋_GB2312" w:hAnsi="仿宋_GB2312" w:eastAsia="仿宋_GB2312" w:cs="仿宋_GB2312"/>
          <w:i w:val="0"/>
          <w:iCs w:val="0"/>
          <w:snapToGrid/>
          <w:kern w:val="2"/>
          <w:sz w:val="32"/>
          <w:szCs w:val="32"/>
          <w:u w:val="none"/>
          <w:lang w:val="en-US" w:eastAsia="zh-CN"/>
        </w:rPr>
        <w:t>2.评价对象</w:t>
      </w:r>
    </w:p>
    <w:p w14:paraId="163762B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i w:val="0"/>
          <w:iCs w:val="0"/>
          <w:snapToGrid/>
          <w:kern w:val="2"/>
          <w:sz w:val="32"/>
          <w:szCs w:val="32"/>
          <w:u w:val="none"/>
          <w:lang w:val="en-US" w:eastAsia="zh-CN"/>
        </w:rPr>
      </w:pPr>
      <w:r>
        <w:rPr>
          <w:rFonts w:hint="eastAsia" w:ascii="仿宋_GB2312" w:hAnsi="仿宋_GB2312" w:eastAsia="仿宋_GB2312" w:cs="仿宋_GB2312"/>
          <w:i w:val="0"/>
          <w:iCs w:val="0"/>
          <w:snapToGrid/>
          <w:kern w:val="2"/>
          <w:sz w:val="32"/>
          <w:szCs w:val="32"/>
          <w:u w:val="none"/>
          <w:lang w:val="en-US" w:eastAsia="zh-CN"/>
        </w:rPr>
        <w:t>农村供水和自建设施供水行业监管项目。</w:t>
      </w:r>
    </w:p>
    <w:p w14:paraId="0D5472C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i w:val="0"/>
          <w:iCs w:val="0"/>
          <w:snapToGrid/>
          <w:kern w:val="2"/>
          <w:sz w:val="32"/>
          <w:szCs w:val="32"/>
          <w:u w:val="none"/>
          <w:lang w:val="en-US" w:eastAsia="zh-CN"/>
        </w:rPr>
      </w:pPr>
      <w:r>
        <w:rPr>
          <w:rFonts w:hint="eastAsia" w:ascii="仿宋_GB2312" w:hAnsi="仿宋_GB2312" w:eastAsia="仿宋_GB2312" w:cs="仿宋_GB2312"/>
          <w:i w:val="0"/>
          <w:iCs w:val="0"/>
          <w:snapToGrid/>
          <w:kern w:val="2"/>
          <w:sz w:val="32"/>
          <w:szCs w:val="32"/>
          <w:u w:val="none"/>
          <w:lang w:val="en-US" w:eastAsia="zh-CN"/>
        </w:rPr>
        <w:t>3.评价范围</w:t>
      </w:r>
    </w:p>
    <w:p w14:paraId="2339387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i w:val="0"/>
          <w:iCs w:val="0"/>
          <w:snapToGrid/>
          <w:kern w:val="2"/>
          <w:sz w:val="32"/>
          <w:szCs w:val="32"/>
          <w:u w:val="none"/>
          <w:lang w:val="en-US" w:eastAsia="zh-CN"/>
        </w:rPr>
      </w:pPr>
      <w:r>
        <w:rPr>
          <w:rFonts w:hint="eastAsia" w:ascii="仿宋_GB2312" w:hAnsi="仿宋_GB2312" w:eastAsia="仿宋_GB2312" w:cs="仿宋_GB2312"/>
          <w:i w:val="0"/>
          <w:iCs w:val="0"/>
          <w:snapToGrid/>
          <w:kern w:val="2"/>
          <w:sz w:val="32"/>
          <w:szCs w:val="32"/>
          <w:u w:val="none"/>
          <w:lang w:val="en-US" w:eastAsia="zh-CN"/>
        </w:rPr>
        <w:t>以北京市供水管理事务中心开展的与农村供水和自建设施供水行业监管项目目标定位相关的工作。</w:t>
      </w:r>
    </w:p>
    <w:p w14:paraId="18BEE6C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snapToGrid/>
          <w:kern w:val="2"/>
          <w:sz w:val="32"/>
          <w:szCs w:val="32"/>
          <w:lang w:val="en-US" w:eastAsia="zh-CN"/>
        </w:rPr>
      </w:pPr>
      <w:r>
        <w:rPr>
          <w:rFonts w:hint="eastAsia" w:ascii="楷体_GB2312" w:hAnsi="楷体_GB2312" w:eastAsia="楷体_GB2312" w:cs="楷体_GB2312"/>
          <w:snapToGrid/>
          <w:kern w:val="2"/>
          <w:sz w:val="32"/>
          <w:szCs w:val="32"/>
          <w:lang w:val="en-US" w:eastAsia="zh-CN"/>
        </w:rPr>
        <w:t>(二)绩效评价原则、评价指标体系(附表说明)、评价方法、评价标准等。</w:t>
      </w:r>
    </w:p>
    <w:p w14:paraId="59384B1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i w:val="0"/>
          <w:iCs w:val="0"/>
          <w:snapToGrid/>
          <w:kern w:val="2"/>
          <w:sz w:val="32"/>
          <w:szCs w:val="32"/>
          <w:u w:val="none"/>
          <w:lang w:val="en-US" w:eastAsia="zh-CN"/>
        </w:rPr>
      </w:pPr>
      <w:r>
        <w:rPr>
          <w:rFonts w:hint="eastAsia" w:ascii="仿宋_GB2312" w:hAnsi="仿宋_GB2312" w:eastAsia="仿宋_GB2312" w:cs="仿宋_GB2312"/>
          <w:i w:val="0"/>
          <w:iCs w:val="0"/>
          <w:snapToGrid/>
          <w:kern w:val="2"/>
          <w:sz w:val="32"/>
          <w:szCs w:val="32"/>
          <w:u w:val="none"/>
          <w:lang w:val="en-US" w:eastAsia="zh-CN"/>
        </w:rPr>
        <w:t>1.评价原则</w:t>
      </w:r>
    </w:p>
    <w:p w14:paraId="5AA1091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i w:val="0"/>
          <w:iCs w:val="0"/>
          <w:snapToGrid/>
          <w:kern w:val="2"/>
          <w:sz w:val="32"/>
          <w:szCs w:val="32"/>
          <w:u w:val="none"/>
          <w:lang w:val="en-US" w:eastAsia="zh-CN"/>
        </w:rPr>
      </w:pPr>
      <w:r>
        <w:rPr>
          <w:rFonts w:hint="eastAsia" w:ascii="仿宋_GB2312" w:hAnsi="仿宋_GB2312" w:eastAsia="仿宋_GB2312" w:cs="仿宋_GB2312"/>
          <w:i w:val="0"/>
          <w:iCs w:val="0"/>
          <w:snapToGrid/>
          <w:kern w:val="2"/>
          <w:sz w:val="32"/>
          <w:szCs w:val="32"/>
          <w:u w:val="none"/>
          <w:lang w:val="en-US" w:eastAsia="zh-CN"/>
        </w:rPr>
        <w:t>①科学公正。运用科学合理的方法，按照规范的程序，对项目绩效进行客观、公正的反映。</w:t>
      </w:r>
    </w:p>
    <w:p w14:paraId="3E4CB45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i w:val="0"/>
          <w:iCs w:val="0"/>
          <w:snapToGrid/>
          <w:kern w:val="2"/>
          <w:sz w:val="32"/>
          <w:szCs w:val="32"/>
          <w:u w:val="none"/>
          <w:lang w:val="en-US" w:eastAsia="zh-CN"/>
        </w:rPr>
      </w:pPr>
      <w:r>
        <w:rPr>
          <w:rFonts w:hint="eastAsia" w:ascii="仿宋_GB2312" w:hAnsi="仿宋_GB2312" w:eastAsia="仿宋_GB2312" w:cs="仿宋_GB2312"/>
          <w:i w:val="0"/>
          <w:iCs w:val="0"/>
          <w:snapToGrid/>
          <w:kern w:val="2"/>
          <w:sz w:val="32"/>
          <w:szCs w:val="32"/>
          <w:u w:val="none"/>
          <w:lang w:val="en-US" w:eastAsia="zh-CN"/>
        </w:rPr>
        <w:t>②统筹兼顾。本次项目的部门评价工作是在单位自评的基础上开展</w:t>
      </w:r>
      <w:r>
        <w:rPr>
          <w:rFonts w:hint="default" w:ascii="仿宋_GB2312" w:hAnsi="仿宋_GB2312" w:eastAsia="仿宋_GB2312" w:cs="仿宋_GB2312"/>
          <w:i w:val="0"/>
          <w:iCs w:val="0"/>
          <w:snapToGrid/>
          <w:kern w:val="2"/>
          <w:sz w:val="32"/>
          <w:szCs w:val="32"/>
          <w:u w:val="none"/>
          <w:lang w:val="en-US" w:eastAsia="zh-CN"/>
        </w:rPr>
        <w:t>。</w:t>
      </w:r>
    </w:p>
    <w:p w14:paraId="0744CB2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i w:val="0"/>
          <w:iCs w:val="0"/>
          <w:snapToGrid/>
          <w:kern w:val="2"/>
          <w:sz w:val="32"/>
          <w:szCs w:val="32"/>
          <w:u w:val="none"/>
          <w:lang w:val="en-US" w:eastAsia="zh-CN"/>
        </w:rPr>
      </w:pPr>
      <w:r>
        <w:rPr>
          <w:rFonts w:hint="default" w:ascii="仿宋_GB2312" w:hAnsi="仿宋_GB2312" w:eastAsia="仿宋_GB2312" w:cs="仿宋_GB2312"/>
          <w:i w:val="0"/>
          <w:iCs w:val="0"/>
          <w:snapToGrid/>
          <w:kern w:val="2"/>
          <w:sz w:val="32"/>
          <w:szCs w:val="32"/>
          <w:u w:val="none"/>
          <w:lang w:val="en-US" w:eastAsia="zh-CN"/>
        </w:rPr>
        <w:t>③</w:t>
      </w:r>
      <w:r>
        <w:rPr>
          <w:rFonts w:hint="eastAsia" w:ascii="仿宋_GB2312" w:hAnsi="仿宋_GB2312" w:eastAsia="仿宋_GB2312" w:cs="仿宋_GB2312"/>
          <w:i w:val="0"/>
          <w:iCs w:val="0"/>
          <w:snapToGrid/>
          <w:kern w:val="2"/>
          <w:sz w:val="32"/>
          <w:szCs w:val="32"/>
          <w:u w:val="none"/>
          <w:lang w:val="en-US" w:eastAsia="zh-CN"/>
        </w:rPr>
        <w:t>激励约束。本次绩效评价结果应用与预算安排、政策调整、改进管理实质性挂钩，体现奖优罚劣和激励相容导向，有效要安排、低效要减压、无效要问责</w:t>
      </w:r>
      <w:r>
        <w:rPr>
          <w:rFonts w:hint="default" w:ascii="仿宋_GB2312" w:hAnsi="仿宋_GB2312" w:eastAsia="仿宋_GB2312" w:cs="仿宋_GB2312"/>
          <w:i w:val="0"/>
          <w:iCs w:val="0"/>
          <w:snapToGrid/>
          <w:kern w:val="2"/>
          <w:sz w:val="32"/>
          <w:szCs w:val="32"/>
          <w:u w:val="none"/>
          <w:lang w:val="en-US" w:eastAsia="zh-CN"/>
        </w:rPr>
        <w:t>。</w:t>
      </w:r>
    </w:p>
    <w:p w14:paraId="06CB475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i w:val="0"/>
          <w:iCs w:val="0"/>
          <w:snapToGrid/>
          <w:kern w:val="2"/>
          <w:sz w:val="32"/>
          <w:szCs w:val="32"/>
          <w:u w:val="none"/>
          <w:lang w:val="en-US" w:eastAsia="zh-CN"/>
        </w:rPr>
      </w:pPr>
      <w:r>
        <w:rPr>
          <w:rFonts w:hint="eastAsia" w:ascii="仿宋_GB2312" w:hAnsi="仿宋_GB2312" w:eastAsia="仿宋_GB2312" w:cs="仿宋_GB2312"/>
          <w:i w:val="0"/>
          <w:iCs w:val="0"/>
          <w:snapToGrid/>
          <w:kern w:val="2"/>
          <w:sz w:val="32"/>
          <w:szCs w:val="32"/>
          <w:u w:val="none"/>
          <w:lang w:val="en-US" w:eastAsia="zh-CN"/>
        </w:rPr>
        <w:t>④公开透明。本次绩效评价结果将依法依规公开，并自觉接受社会监督。</w:t>
      </w:r>
    </w:p>
    <w:p w14:paraId="18D6A5B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i w:val="0"/>
          <w:iCs w:val="0"/>
          <w:snapToGrid/>
          <w:kern w:val="2"/>
          <w:sz w:val="32"/>
          <w:szCs w:val="32"/>
          <w:u w:val="none"/>
          <w:lang w:val="en-US" w:eastAsia="zh-CN"/>
        </w:rPr>
      </w:pPr>
      <w:r>
        <w:rPr>
          <w:rFonts w:hint="eastAsia" w:ascii="仿宋_GB2312" w:hAnsi="仿宋_GB2312" w:eastAsia="仿宋_GB2312" w:cs="仿宋_GB2312"/>
          <w:i w:val="0"/>
          <w:iCs w:val="0"/>
          <w:snapToGrid/>
          <w:kern w:val="2"/>
          <w:sz w:val="32"/>
          <w:szCs w:val="32"/>
          <w:u w:val="none"/>
          <w:lang w:val="en-US" w:eastAsia="zh-CN"/>
        </w:rPr>
        <w:t>2.评价指标体系</w:t>
      </w:r>
    </w:p>
    <w:p w14:paraId="43DFCCA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i w:val="0"/>
          <w:iCs w:val="0"/>
          <w:snapToGrid/>
          <w:kern w:val="2"/>
          <w:sz w:val="32"/>
          <w:szCs w:val="32"/>
          <w:u w:val="none"/>
          <w:lang w:val="en-US" w:eastAsia="zh-CN"/>
        </w:rPr>
      </w:pPr>
      <w:r>
        <w:rPr>
          <w:rFonts w:hint="eastAsia" w:ascii="仿宋_GB2312" w:hAnsi="仿宋_GB2312" w:eastAsia="仿宋_GB2312" w:cs="仿宋_GB2312"/>
          <w:i w:val="0"/>
          <w:iCs w:val="0"/>
          <w:snapToGrid/>
          <w:kern w:val="2"/>
          <w:sz w:val="32"/>
          <w:szCs w:val="32"/>
          <w:u w:val="none"/>
          <w:lang w:val="en-US" w:eastAsia="zh-CN"/>
        </w:rPr>
        <w:t>本次评价工作是在项目实施期结束后开展的评价，确定指标体系更注重产出和效益，产出、效益指标权重占比70%。我们按照《北京市项目支出绩效评价管理办法》(京财绩效〔2020〕2146号),确定了该项目绩效评价指标体系，其中 一 级指标4个，二级指标10个，三级指标17个。评价指标体系详见下表：</w:t>
      </w:r>
    </w:p>
    <w:p w14:paraId="5C7C62B8">
      <w:pPr>
        <w:spacing w:line="222" w:lineRule="auto"/>
        <w:ind w:left="2714"/>
        <w:rPr>
          <w:rFonts w:ascii="仿宋" w:hAnsi="仿宋" w:eastAsia="仿宋" w:cs="仿宋"/>
          <w:sz w:val="30"/>
          <w:szCs w:val="30"/>
          <w:highlight w:val="none"/>
        </w:rPr>
      </w:pPr>
      <w:r>
        <w:rPr>
          <w:rFonts w:ascii="仿宋" w:hAnsi="仿宋" w:eastAsia="仿宋" w:cs="仿宋"/>
          <w:b/>
          <w:bCs/>
          <w:spacing w:val="-22"/>
          <w:sz w:val="30"/>
          <w:szCs w:val="30"/>
          <w:highlight w:val="none"/>
        </w:rPr>
        <w:t>项目支出绩效评价指标体系</w:t>
      </w:r>
    </w:p>
    <w:p w14:paraId="6F0328B9">
      <w:pPr>
        <w:spacing w:line="118" w:lineRule="exact"/>
        <w:rPr>
          <w:highlight w:val="none"/>
        </w:rPr>
      </w:pPr>
    </w:p>
    <w:tbl>
      <w:tblPr>
        <w:tblStyle w:val="6"/>
        <w:tblW w:w="8120" w:type="dxa"/>
        <w:tblInd w:w="30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03"/>
        <w:gridCol w:w="1968"/>
        <w:gridCol w:w="2806"/>
        <w:gridCol w:w="1543"/>
      </w:tblGrid>
      <w:tr w14:paraId="0FADA2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1803" w:type="dxa"/>
            <w:tcBorders>
              <w:bottom w:val="single" w:color="auto" w:sz="4" w:space="0"/>
            </w:tcBorders>
            <w:vAlign w:val="center"/>
          </w:tcPr>
          <w:p w14:paraId="2557C8D5">
            <w:pPr>
              <w:pStyle w:val="7"/>
              <w:spacing w:before="235" w:line="220" w:lineRule="auto"/>
              <w:ind w:left="0"/>
              <w:jc w:val="center"/>
              <w:rPr>
                <w:highlight w:val="none"/>
              </w:rPr>
            </w:pPr>
            <w:r>
              <w:rPr>
                <w:spacing w:val="2"/>
                <w:highlight w:val="none"/>
              </w:rPr>
              <w:t>一级指标</w:t>
            </w:r>
          </w:p>
        </w:tc>
        <w:tc>
          <w:tcPr>
            <w:tcW w:w="1968" w:type="dxa"/>
            <w:tcBorders>
              <w:bottom w:val="single" w:color="auto" w:sz="4" w:space="0"/>
            </w:tcBorders>
            <w:vAlign w:val="center"/>
          </w:tcPr>
          <w:p w14:paraId="57276D03">
            <w:pPr>
              <w:pStyle w:val="7"/>
              <w:spacing w:before="235" w:line="220" w:lineRule="auto"/>
              <w:ind w:left="0"/>
              <w:jc w:val="center"/>
              <w:rPr>
                <w:highlight w:val="none"/>
              </w:rPr>
            </w:pPr>
            <w:r>
              <w:rPr>
                <w:spacing w:val="2"/>
                <w:highlight w:val="none"/>
              </w:rPr>
              <w:t>二级指标</w:t>
            </w:r>
          </w:p>
        </w:tc>
        <w:tc>
          <w:tcPr>
            <w:tcW w:w="2806" w:type="dxa"/>
            <w:tcBorders>
              <w:bottom w:val="single" w:color="auto" w:sz="4" w:space="0"/>
            </w:tcBorders>
            <w:vAlign w:val="center"/>
          </w:tcPr>
          <w:p w14:paraId="28E47093">
            <w:pPr>
              <w:pStyle w:val="7"/>
              <w:spacing w:before="235" w:line="220" w:lineRule="auto"/>
              <w:ind w:left="0"/>
              <w:jc w:val="center"/>
              <w:rPr>
                <w:highlight w:val="none"/>
              </w:rPr>
            </w:pPr>
            <w:r>
              <w:rPr>
                <w:spacing w:val="-2"/>
                <w:highlight w:val="none"/>
              </w:rPr>
              <w:t>三级指标</w:t>
            </w:r>
          </w:p>
        </w:tc>
        <w:tc>
          <w:tcPr>
            <w:tcW w:w="1543" w:type="dxa"/>
            <w:tcBorders>
              <w:bottom w:val="single" w:color="auto" w:sz="4" w:space="0"/>
            </w:tcBorders>
            <w:vAlign w:val="center"/>
          </w:tcPr>
          <w:p w14:paraId="219E79F9">
            <w:pPr>
              <w:pStyle w:val="7"/>
              <w:spacing w:before="234" w:line="219" w:lineRule="auto"/>
              <w:ind w:left="0"/>
              <w:jc w:val="center"/>
              <w:rPr>
                <w:highlight w:val="none"/>
              </w:rPr>
            </w:pPr>
            <w:r>
              <w:rPr>
                <w:spacing w:val="4"/>
                <w:highlight w:val="none"/>
              </w:rPr>
              <w:t>分值</w:t>
            </w:r>
          </w:p>
        </w:tc>
      </w:tr>
      <w:tr w14:paraId="5BE3A5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3" w:hRule="atLeast"/>
        </w:trPr>
        <w:tc>
          <w:tcPr>
            <w:tcW w:w="1803" w:type="dxa"/>
            <w:vMerge w:val="restart"/>
            <w:tcBorders>
              <w:top w:val="single" w:color="auto" w:sz="4" w:space="0"/>
              <w:left w:val="single" w:color="auto" w:sz="4" w:space="0"/>
              <w:bottom w:val="single" w:color="auto" w:sz="4" w:space="0"/>
              <w:right w:val="single" w:color="auto" w:sz="4" w:space="0"/>
            </w:tcBorders>
            <w:vAlign w:val="center"/>
          </w:tcPr>
          <w:p w14:paraId="118C5189">
            <w:pPr>
              <w:pStyle w:val="7"/>
              <w:spacing w:before="78" w:line="219" w:lineRule="auto"/>
              <w:ind w:left="0"/>
              <w:jc w:val="center"/>
              <w:rPr>
                <w:highlight w:val="none"/>
              </w:rPr>
            </w:pPr>
            <w:r>
              <w:rPr>
                <w:spacing w:val="5"/>
                <w:highlight w:val="none"/>
              </w:rPr>
              <w:t>决策</w:t>
            </w:r>
          </w:p>
        </w:tc>
        <w:tc>
          <w:tcPr>
            <w:tcW w:w="1968" w:type="dxa"/>
            <w:vMerge w:val="restart"/>
            <w:tcBorders>
              <w:top w:val="single" w:color="auto" w:sz="4" w:space="0"/>
              <w:left w:val="single" w:color="auto" w:sz="4" w:space="0"/>
              <w:bottom w:val="single" w:color="auto" w:sz="4" w:space="0"/>
              <w:right w:val="single" w:color="auto" w:sz="4" w:space="0"/>
            </w:tcBorders>
            <w:vAlign w:val="center"/>
          </w:tcPr>
          <w:p w14:paraId="0542DAB9">
            <w:pPr>
              <w:pStyle w:val="7"/>
              <w:spacing w:before="78" w:line="220" w:lineRule="auto"/>
              <w:ind w:left="0"/>
              <w:jc w:val="center"/>
              <w:rPr>
                <w:highlight w:val="none"/>
              </w:rPr>
            </w:pPr>
            <w:r>
              <w:rPr>
                <w:spacing w:val="3"/>
                <w:highlight w:val="none"/>
              </w:rPr>
              <w:t>项目立项</w:t>
            </w:r>
          </w:p>
        </w:tc>
        <w:tc>
          <w:tcPr>
            <w:tcW w:w="2806" w:type="dxa"/>
            <w:tcBorders>
              <w:top w:val="single" w:color="auto" w:sz="4" w:space="0"/>
              <w:left w:val="single" w:color="auto" w:sz="4" w:space="0"/>
              <w:bottom w:val="single" w:color="auto" w:sz="4" w:space="0"/>
              <w:right w:val="single" w:color="auto" w:sz="4" w:space="0"/>
            </w:tcBorders>
            <w:vAlign w:val="center"/>
          </w:tcPr>
          <w:p w14:paraId="49101B31">
            <w:pPr>
              <w:pStyle w:val="7"/>
              <w:spacing w:before="89" w:line="219" w:lineRule="auto"/>
              <w:ind w:left="0"/>
              <w:jc w:val="center"/>
              <w:rPr>
                <w:highlight w:val="none"/>
              </w:rPr>
            </w:pPr>
            <w:r>
              <w:rPr>
                <w:spacing w:val="-2"/>
                <w:highlight w:val="none"/>
              </w:rPr>
              <w:t>立项依据充分性</w:t>
            </w:r>
          </w:p>
        </w:tc>
        <w:tc>
          <w:tcPr>
            <w:tcW w:w="1543" w:type="dxa"/>
            <w:tcBorders>
              <w:top w:val="single" w:color="auto" w:sz="4" w:space="0"/>
              <w:left w:val="single" w:color="auto" w:sz="4" w:space="0"/>
              <w:bottom w:val="single" w:color="auto" w:sz="4" w:space="0"/>
              <w:right w:val="single" w:color="auto" w:sz="4" w:space="0"/>
            </w:tcBorders>
            <w:vAlign w:val="center"/>
          </w:tcPr>
          <w:p w14:paraId="3BE1DFA6">
            <w:pPr>
              <w:pStyle w:val="7"/>
              <w:spacing w:before="115" w:line="226" w:lineRule="auto"/>
              <w:ind w:left="0"/>
              <w:jc w:val="center"/>
              <w:rPr>
                <w:highlight w:val="none"/>
              </w:rPr>
            </w:pPr>
            <w:r>
              <w:rPr>
                <w:highlight w:val="none"/>
              </w:rPr>
              <w:t>2</w:t>
            </w:r>
          </w:p>
        </w:tc>
      </w:tr>
      <w:tr w14:paraId="014433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1803" w:type="dxa"/>
            <w:vMerge w:val="continue"/>
            <w:tcBorders>
              <w:top w:val="single" w:color="auto" w:sz="4" w:space="0"/>
              <w:left w:val="single" w:color="auto" w:sz="4" w:space="0"/>
              <w:bottom w:val="single" w:color="auto" w:sz="4" w:space="0"/>
              <w:right w:val="single" w:color="auto" w:sz="4" w:space="0"/>
            </w:tcBorders>
            <w:vAlign w:val="center"/>
          </w:tcPr>
          <w:p w14:paraId="7E17A657">
            <w:pPr>
              <w:jc w:val="center"/>
              <w:rPr>
                <w:rFonts w:ascii="Arial"/>
                <w:sz w:val="21"/>
                <w:highlight w:val="none"/>
              </w:rPr>
            </w:pPr>
          </w:p>
        </w:tc>
        <w:tc>
          <w:tcPr>
            <w:tcW w:w="1968" w:type="dxa"/>
            <w:vMerge w:val="continue"/>
            <w:tcBorders>
              <w:top w:val="single" w:color="auto" w:sz="4" w:space="0"/>
              <w:left w:val="single" w:color="auto" w:sz="4" w:space="0"/>
              <w:bottom w:val="single" w:color="auto" w:sz="4" w:space="0"/>
              <w:right w:val="single" w:color="auto" w:sz="4" w:space="0"/>
            </w:tcBorders>
            <w:vAlign w:val="center"/>
          </w:tcPr>
          <w:p w14:paraId="0D6A7D13">
            <w:pPr>
              <w:jc w:val="center"/>
              <w:rPr>
                <w:rFonts w:ascii="Arial"/>
                <w:sz w:val="21"/>
                <w:highlight w:val="none"/>
              </w:rPr>
            </w:pPr>
          </w:p>
        </w:tc>
        <w:tc>
          <w:tcPr>
            <w:tcW w:w="2806" w:type="dxa"/>
            <w:tcBorders>
              <w:top w:val="single" w:color="auto" w:sz="4" w:space="0"/>
              <w:left w:val="single" w:color="auto" w:sz="4" w:space="0"/>
              <w:bottom w:val="single" w:color="auto" w:sz="4" w:space="0"/>
              <w:right w:val="single" w:color="auto" w:sz="4" w:space="0"/>
            </w:tcBorders>
            <w:vAlign w:val="center"/>
          </w:tcPr>
          <w:p w14:paraId="00632839">
            <w:pPr>
              <w:pStyle w:val="7"/>
              <w:spacing w:before="78" w:line="220" w:lineRule="auto"/>
              <w:ind w:left="0"/>
              <w:jc w:val="center"/>
              <w:rPr>
                <w:highlight w:val="none"/>
              </w:rPr>
            </w:pPr>
            <w:r>
              <w:rPr>
                <w:spacing w:val="-2"/>
                <w:highlight w:val="none"/>
              </w:rPr>
              <w:t>立项程序规范性</w:t>
            </w:r>
          </w:p>
        </w:tc>
        <w:tc>
          <w:tcPr>
            <w:tcW w:w="1543" w:type="dxa"/>
            <w:tcBorders>
              <w:top w:val="single" w:color="auto" w:sz="4" w:space="0"/>
              <w:left w:val="single" w:color="auto" w:sz="4" w:space="0"/>
              <w:bottom w:val="single" w:color="auto" w:sz="4" w:space="0"/>
              <w:right w:val="single" w:color="auto" w:sz="4" w:space="0"/>
            </w:tcBorders>
            <w:vAlign w:val="center"/>
          </w:tcPr>
          <w:p w14:paraId="160B5D17">
            <w:pPr>
              <w:pStyle w:val="7"/>
              <w:spacing w:before="78" w:line="241" w:lineRule="auto"/>
              <w:ind w:left="0"/>
              <w:jc w:val="center"/>
              <w:rPr>
                <w:highlight w:val="none"/>
              </w:rPr>
            </w:pPr>
            <w:r>
              <w:rPr>
                <w:highlight w:val="none"/>
              </w:rPr>
              <w:t>1</w:t>
            </w:r>
          </w:p>
        </w:tc>
      </w:tr>
      <w:tr w14:paraId="61A4AD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1803" w:type="dxa"/>
            <w:vMerge w:val="continue"/>
            <w:tcBorders>
              <w:top w:val="single" w:color="auto" w:sz="4" w:space="0"/>
              <w:left w:val="single" w:color="auto" w:sz="4" w:space="0"/>
              <w:bottom w:val="single" w:color="auto" w:sz="4" w:space="0"/>
              <w:right w:val="single" w:color="auto" w:sz="4" w:space="0"/>
            </w:tcBorders>
            <w:vAlign w:val="center"/>
          </w:tcPr>
          <w:p w14:paraId="5F8166F1">
            <w:pPr>
              <w:jc w:val="center"/>
              <w:rPr>
                <w:rFonts w:ascii="Arial"/>
                <w:sz w:val="21"/>
                <w:highlight w:val="none"/>
              </w:rPr>
            </w:pPr>
          </w:p>
        </w:tc>
        <w:tc>
          <w:tcPr>
            <w:tcW w:w="1968" w:type="dxa"/>
            <w:vMerge w:val="restart"/>
            <w:tcBorders>
              <w:top w:val="single" w:color="auto" w:sz="4" w:space="0"/>
              <w:left w:val="single" w:color="auto" w:sz="4" w:space="0"/>
              <w:bottom w:val="single" w:color="auto" w:sz="4" w:space="0"/>
              <w:right w:val="single" w:color="auto" w:sz="4" w:space="0"/>
            </w:tcBorders>
            <w:vAlign w:val="center"/>
          </w:tcPr>
          <w:p w14:paraId="2DD86747">
            <w:pPr>
              <w:pStyle w:val="7"/>
              <w:spacing w:before="78" w:line="220" w:lineRule="auto"/>
              <w:ind w:left="0"/>
              <w:jc w:val="center"/>
              <w:rPr>
                <w:highlight w:val="none"/>
              </w:rPr>
            </w:pPr>
            <w:r>
              <w:rPr>
                <w:spacing w:val="2"/>
                <w:highlight w:val="none"/>
              </w:rPr>
              <w:t>绩效目标</w:t>
            </w:r>
          </w:p>
        </w:tc>
        <w:tc>
          <w:tcPr>
            <w:tcW w:w="2806" w:type="dxa"/>
            <w:tcBorders>
              <w:top w:val="single" w:color="auto" w:sz="4" w:space="0"/>
              <w:left w:val="single" w:color="auto" w:sz="4" w:space="0"/>
              <w:bottom w:val="single" w:color="auto" w:sz="4" w:space="0"/>
              <w:right w:val="single" w:color="auto" w:sz="4" w:space="0"/>
            </w:tcBorders>
            <w:vAlign w:val="center"/>
          </w:tcPr>
          <w:p w14:paraId="678E2B25">
            <w:pPr>
              <w:pStyle w:val="7"/>
              <w:spacing w:before="78" w:line="220" w:lineRule="auto"/>
              <w:ind w:left="0"/>
              <w:jc w:val="center"/>
              <w:rPr>
                <w:highlight w:val="none"/>
              </w:rPr>
            </w:pPr>
            <w:r>
              <w:rPr>
                <w:spacing w:val="1"/>
                <w:highlight w:val="none"/>
              </w:rPr>
              <w:t>绩效目标合理性</w:t>
            </w:r>
          </w:p>
        </w:tc>
        <w:tc>
          <w:tcPr>
            <w:tcW w:w="1543" w:type="dxa"/>
            <w:tcBorders>
              <w:top w:val="single" w:color="auto" w:sz="4" w:space="0"/>
              <w:left w:val="single" w:color="auto" w:sz="4" w:space="0"/>
              <w:bottom w:val="single" w:color="auto" w:sz="4" w:space="0"/>
              <w:right w:val="single" w:color="auto" w:sz="4" w:space="0"/>
            </w:tcBorders>
            <w:vAlign w:val="center"/>
          </w:tcPr>
          <w:p w14:paraId="38854418">
            <w:pPr>
              <w:pStyle w:val="7"/>
              <w:spacing w:before="78" w:line="241" w:lineRule="auto"/>
              <w:ind w:left="0"/>
              <w:jc w:val="center"/>
              <w:rPr>
                <w:highlight w:val="none"/>
              </w:rPr>
            </w:pPr>
            <w:r>
              <w:rPr>
                <w:highlight w:val="none"/>
              </w:rPr>
              <w:t>2</w:t>
            </w:r>
          </w:p>
        </w:tc>
      </w:tr>
      <w:tr w14:paraId="047747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1803" w:type="dxa"/>
            <w:vMerge w:val="continue"/>
            <w:tcBorders>
              <w:top w:val="single" w:color="auto" w:sz="4" w:space="0"/>
              <w:left w:val="single" w:color="auto" w:sz="4" w:space="0"/>
              <w:bottom w:val="single" w:color="auto" w:sz="4" w:space="0"/>
              <w:right w:val="single" w:color="auto" w:sz="4" w:space="0"/>
            </w:tcBorders>
            <w:vAlign w:val="center"/>
          </w:tcPr>
          <w:p w14:paraId="51466537">
            <w:pPr>
              <w:jc w:val="center"/>
              <w:rPr>
                <w:rFonts w:ascii="Arial"/>
                <w:sz w:val="21"/>
                <w:highlight w:val="none"/>
              </w:rPr>
            </w:pPr>
          </w:p>
        </w:tc>
        <w:tc>
          <w:tcPr>
            <w:tcW w:w="1968" w:type="dxa"/>
            <w:vMerge w:val="continue"/>
            <w:tcBorders>
              <w:top w:val="single" w:color="auto" w:sz="4" w:space="0"/>
              <w:left w:val="single" w:color="auto" w:sz="4" w:space="0"/>
              <w:bottom w:val="single" w:color="auto" w:sz="4" w:space="0"/>
              <w:right w:val="single" w:color="auto" w:sz="4" w:space="0"/>
            </w:tcBorders>
            <w:vAlign w:val="center"/>
          </w:tcPr>
          <w:p w14:paraId="60FB69A4">
            <w:pPr>
              <w:jc w:val="center"/>
              <w:rPr>
                <w:rFonts w:ascii="Arial"/>
                <w:sz w:val="21"/>
                <w:highlight w:val="none"/>
              </w:rPr>
            </w:pPr>
          </w:p>
        </w:tc>
        <w:tc>
          <w:tcPr>
            <w:tcW w:w="2806" w:type="dxa"/>
            <w:tcBorders>
              <w:top w:val="single" w:color="auto" w:sz="4" w:space="0"/>
              <w:left w:val="single" w:color="auto" w:sz="4" w:space="0"/>
              <w:bottom w:val="single" w:color="auto" w:sz="4" w:space="0"/>
              <w:right w:val="single" w:color="auto" w:sz="4" w:space="0"/>
            </w:tcBorders>
            <w:vAlign w:val="center"/>
          </w:tcPr>
          <w:p w14:paraId="0EF76586">
            <w:pPr>
              <w:pStyle w:val="7"/>
              <w:spacing w:before="78" w:line="219" w:lineRule="auto"/>
              <w:ind w:left="0"/>
              <w:jc w:val="center"/>
              <w:rPr>
                <w:highlight w:val="none"/>
              </w:rPr>
            </w:pPr>
            <w:r>
              <w:rPr>
                <w:spacing w:val="1"/>
                <w:highlight w:val="none"/>
              </w:rPr>
              <w:t>绩效指标明确性</w:t>
            </w:r>
          </w:p>
        </w:tc>
        <w:tc>
          <w:tcPr>
            <w:tcW w:w="1543" w:type="dxa"/>
            <w:tcBorders>
              <w:top w:val="single" w:color="auto" w:sz="4" w:space="0"/>
              <w:left w:val="single" w:color="auto" w:sz="4" w:space="0"/>
              <w:bottom w:val="single" w:color="auto" w:sz="4" w:space="0"/>
              <w:right w:val="single" w:color="auto" w:sz="4" w:space="0"/>
            </w:tcBorders>
            <w:vAlign w:val="center"/>
          </w:tcPr>
          <w:p w14:paraId="0004163B">
            <w:pPr>
              <w:pStyle w:val="7"/>
              <w:spacing w:before="78" w:line="241" w:lineRule="auto"/>
              <w:ind w:left="0"/>
              <w:jc w:val="center"/>
              <w:rPr>
                <w:highlight w:val="none"/>
              </w:rPr>
            </w:pPr>
            <w:r>
              <w:rPr>
                <w:highlight w:val="none"/>
              </w:rPr>
              <w:t>2</w:t>
            </w:r>
          </w:p>
        </w:tc>
      </w:tr>
      <w:tr w14:paraId="25D4AF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1803" w:type="dxa"/>
            <w:vMerge w:val="continue"/>
            <w:tcBorders>
              <w:top w:val="single" w:color="auto" w:sz="4" w:space="0"/>
              <w:left w:val="single" w:color="auto" w:sz="4" w:space="0"/>
              <w:bottom w:val="single" w:color="auto" w:sz="4" w:space="0"/>
              <w:right w:val="single" w:color="auto" w:sz="4" w:space="0"/>
            </w:tcBorders>
            <w:vAlign w:val="center"/>
          </w:tcPr>
          <w:p w14:paraId="3CCCF86F">
            <w:pPr>
              <w:jc w:val="center"/>
              <w:rPr>
                <w:rFonts w:ascii="Arial"/>
                <w:sz w:val="21"/>
                <w:highlight w:val="none"/>
              </w:rPr>
            </w:pPr>
          </w:p>
        </w:tc>
        <w:tc>
          <w:tcPr>
            <w:tcW w:w="1968" w:type="dxa"/>
            <w:vMerge w:val="restart"/>
            <w:tcBorders>
              <w:top w:val="single" w:color="auto" w:sz="4" w:space="0"/>
              <w:left w:val="single" w:color="auto" w:sz="4" w:space="0"/>
              <w:bottom w:val="single" w:color="auto" w:sz="4" w:space="0"/>
              <w:right w:val="single" w:color="auto" w:sz="4" w:space="0"/>
            </w:tcBorders>
            <w:vAlign w:val="center"/>
          </w:tcPr>
          <w:p w14:paraId="18C69C2E">
            <w:pPr>
              <w:pStyle w:val="7"/>
              <w:spacing w:before="78" w:line="220" w:lineRule="auto"/>
              <w:ind w:left="0"/>
              <w:jc w:val="center"/>
              <w:rPr>
                <w:highlight w:val="none"/>
              </w:rPr>
            </w:pPr>
            <w:r>
              <w:rPr>
                <w:spacing w:val="2"/>
                <w:highlight w:val="none"/>
              </w:rPr>
              <w:t>资金投入</w:t>
            </w:r>
          </w:p>
        </w:tc>
        <w:tc>
          <w:tcPr>
            <w:tcW w:w="2806" w:type="dxa"/>
            <w:tcBorders>
              <w:top w:val="single" w:color="auto" w:sz="4" w:space="0"/>
              <w:left w:val="single" w:color="auto" w:sz="4" w:space="0"/>
              <w:bottom w:val="single" w:color="auto" w:sz="4" w:space="0"/>
              <w:right w:val="single" w:color="auto" w:sz="4" w:space="0"/>
            </w:tcBorders>
            <w:vAlign w:val="center"/>
          </w:tcPr>
          <w:p w14:paraId="6166F4E6">
            <w:pPr>
              <w:pStyle w:val="7"/>
              <w:spacing w:before="78" w:line="219" w:lineRule="auto"/>
              <w:ind w:left="0"/>
              <w:jc w:val="center"/>
              <w:rPr>
                <w:highlight w:val="none"/>
              </w:rPr>
            </w:pPr>
            <w:r>
              <w:rPr>
                <w:spacing w:val="1"/>
                <w:highlight w:val="none"/>
              </w:rPr>
              <w:t>预算编制科学性</w:t>
            </w:r>
          </w:p>
        </w:tc>
        <w:tc>
          <w:tcPr>
            <w:tcW w:w="1543" w:type="dxa"/>
            <w:tcBorders>
              <w:top w:val="single" w:color="auto" w:sz="4" w:space="0"/>
              <w:left w:val="single" w:color="auto" w:sz="4" w:space="0"/>
              <w:bottom w:val="single" w:color="auto" w:sz="4" w:space="0"/>
              <w:right w:val="single" w:color="auto" w:sz="4" w:space="0"/>
            </w:tcBorders>
            <w:vAlign w:val="center"/>
          </w:tcPr>
          <w:p w14:paraId="59A22BD6">
            <w:pPr>
              <w:pStyle w:val="7"/>
              <w:spacing w:before="78" w:line="241" w:lineRule="auto"/>
              <w:ind w:left="0"/>
              <w:jc w:val="center"/>
              <w:rPr>
                <w:highlight w:val="none"/>
              </w:rPr>
            </w:pPr>
            <w:r>
              <w:rPr>
                <w:highlight w:val="none"/>
              </w:rPr>
              <w:t>2</w:t>
            </w:r>
          </w:p>
        </w:tc>
      </w:tr>
      <w:tr w14:paraId="40A4C0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 w:hRule="atLeast"/>
        </w:trPr>
        <w:tc>
          <w:tcPr>
            <w:tcW w:w="1803" w:type="dxa"/>
            <w:vMerge w:val="continue"/>
            <w:tcBorders>
              <w:top w:val="single" w:color="auto" w:sz="4" w:space="0"/>
              <w:left w:val="single" w:color="auto" w:sz="4" w:space="0"/>
              <w:bottom w:val="single" w:color="auto" w:sz="4" w:space="0"/>
              <w:right w:val="single" w:color="auto" w:sz="4" w:space="0"/>
            </w:tcBorders>
            <w:vAlign w:val="center"/>
          </w:tcPr>
          <w:p w14:paraId="351209F7">
            <w:pPr>
              <w:jc w:val="center"/>
              <w:rPr>
                <w:rFonts w:ascii="Arial"/>
                <w:sz w:val="21"/>
                <w:highlight w:val="none"/>
              </w:rPr>
            </w:pPr>
          </w:p>
        </w:tc>
        <w:tc>
          <w:tcPr>
            <w:tcW w:w="1968" w:type="dxa"/>
            <w:vMerge w:val="continue"/>
            <w:tcBorders>
              <w:top w:val="single" w:color="auto" w:sz="4" w:space="0"/>
              <w:left w:val="single" w:color="auto" w:sz="4" w:space="0"/>
              <w:bottom w:val="single" w:color="auto" w:sz="4" w:space="0"/>
              <w:right w:val="single" w:color="auto" w:sz="4" w:space="0"/>
            </w:tcBorders>
            <w:vAlign w:val="center"/>
          </w:tcPr>
          <w:p w14:paraId="3844F495">
            <w:pPr>
              <w:jc w:val="center"/>
              <w:rPr>
                <w:rFonts w:ascii="Arial"/>
                <w:sz w:val="21"/>
                <w:highlight w:val="none"/>
              </w:rPr>
            </w:pPr>
          </w:p>
        </w:tc>
        <w:tc>
          <w:tcPr>
            <w:tcW w:w="2806" w:type="dxa"/>
            <w:tcBorders>
              <w:top w:val="single" w:color="auto" w:sz="4" w:space="0"/>
              <w:left w:val="single" w:color="auto" w:sz="4" w:space="0"/>
              <w:bottom w:val="single" w:color="auto" w:sz="4" w:space="0"/>
              <w:right w:val="single" w:color="auto" w:sz="4" w:space="0"/>
            </w:tcBorders>
            <w:vAlign w:val="center"/>
          </w:tcPr>
          <w:p w14:paraId="76967C4E">
            <w:pPr>
              <w:pStyle w:val="7"/>
              <w:spacing w:before="78" w:line="220" w:lineRule="auto"/>
              <w:ind w:left="0"/>
              <w:jc w:val="center"/>
              <w:rPr>
                <w:highlight w:val="none"/>
              </w:rPr>
            </w:pPr>
            <w:r>
              <w:rPr>
                <w:spacing w:val="1"/>
                <w:highlight w:val="none"/>
              </w:rPr>
              <w:t>资金分配合理性</w:t>
            </w:r>
          </w:p>
        </w:tc>
        <w:tc>
          <w:tcPr>
            <w:tcW w:w="1543" w:type="dxa"/>
            <w:tcBorders>
              <w:top w:val="single" w:color="auto" w:sz="4" w:space="0"/>
              <w:left w:val="single" w:color="auto" w:sz="4" w:space="0"/>
              <w:bottom w:val="single" w:color="auto" w:sz="4" w:space="0"/>
              <w:right w:val="single" w:color="auto" w:sz="4" w:space="0"/>
            </w:tcBorders>
            <w:vAlign w:val="center"/>
          </w:tcPr>
          <w:p w14:paraId="50CD4B55">
            <w:pPr>
              <w:pStyle w:val="7"/>
              <w:spacing w:before="78" w:line="241" w:lineRule="auto"/>
              <w:ind w:left="0"/>
              <w:jc w:val="center"/>
              <w:rPr>
                <w:highlight w:val="none"/>
              </w:rPr>
            </w:pPr>
            <w:r>
              <w:rPr>
                <w:highlight w:val="none"/>
              </w:rPr>
              <w:t>1</w:t>
            </w:r>
          </w:p>
        </w:tc>
      </w:tr>
      <w:tr w14:paraId="3605BE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 w:hRule="atLeast"/>
        </w:trPr>
        <w:tc>
          <w:tcPr>
            <w:tcW w:w="1803" w:type="dxa"/>
            <w:tcBorders>
              <w:top w:val="single" w:color="auto" w:sz="4" w:space="0"/>
              <w:left w:val="single" w:color="auto" w:sz="4" w:space="0"/>
              <w:bottom w:val="single" w:color="auto" w:sz="4" w:space="0"/>
              <w:right w:val="single" w:color="auto" w:sz="4" w:space="0"/>
            </w:tcBorders>
            <w:vAlign w:val="center"/>
          </w:tcPr>
          <w:p w14:paraId="36A33787">
            <w:pPr>
              <w:pStyle w:val="7"/>
              <w:spacing w:before="78" w:line="219" w:lineRule="auto"/>
              <w:ind w:left="0" w:leftChars="0"/>
              <w:jc w:val="center"/>
              <w:rPr>
                <w:spacing w:val="-3"/>
                <w:highlight w:val="none"/>
              </w:rPr>
            </w:pPr>
            <w:r>
              <w:rPr>
                <w:rFonts w:hint="eastAsia"/>
                <w:spacing w:val="14"/>
                <w:highlight w:val="none"/>
                <w:lang w:eastAsia="zh-CN"/>
              </w:rPr>
              <w:t>一级指标</w:t>
            </w:r>
          </w:p>
        </w:tc>
        <w:tc>
          <w:tcPr>
            <w:tcW w:w="1968" w:type="dxa"/>
            <w:tcBorders>
              <w:top w:val="single" w:color="auto" w:sz="4" w:space="0"/>
              <w:left w:val="single" w:color="auto" w:sz="4" w:space="0"/>
              <w:bottom w:val="single" w:color="auto" w:sz="4" w:space="0"/>
              <w:right w:val="single" w:color="auto" w:sz="4" w:space="0"/>
            </w:tcBorders>
            <w:vAlign w:val="center"/>
          </w:tcPr>
          <w:p w14:paraId="09B0F52D">
            <w:pPr>
              <w:pStyle w:val="7"/>
              <w:spacing w:before="78" w:line="219" w:lineRule="auto"/>
              <w:ind w:left="0" w:leftChars="0"/>
              <w:jc w:val="center"/>
              <w:rPr>
                <w:spacing w:val="2"/>
                <w:highlight w:val="none"/>
              </w:rPr>
            </w:pPr>
            <w:r>
              <w:rPr>
                <w:rFonts w:hint="eastAsia"/>
                <w:spacing w:val="-2"/>
                <w:highlight w:val="none"/>
                <w:lang w:eastAsia="zh-CN"/>
              </w:rPr>
              <w:t>二级指标</w:t>
            </w:r>
          </w:p>
        </w:tc>
        <w:tc>
          <w:tcPr>
            <w:tcW w:w="2806" w:type="dxa"/>
            <w:tcBorders>
              <w:top w:val="single" w:color="auto" w:sz="4" w:space="0"/>
              <w:left w:val="single" w:color="auto" w:sz="4" w:space="0"/>
              <w:bottom w:val="single" w:color="auto" w:sz="4" w:space="0"/>
              <w:right w:val="single" w:color="auto" w:sz="4" w:space="0"/>
            </w:tcBorders>
            <w:vAlign w:val="center"/>
          </w:tcPr>
          <w:p w14:paraId="78981B43">
            <w:pPr>
              <w:pStyle w:val="7"/>
              <w:spacing w:before="78" w:line="219" w:lineRule="auto"/>
              <w:ind w:left="0" w:leftChars="0"/>
              <w:jc w:val="center"/>
              <w:rPr>
                <w:spacing w:val="2"/>
                <w:highlight w:val="none"/>
              </w:rPr>
            </w:pPr>
            <w:r>
              <w:rPr>
                <w:rFonts w:hint="eastAsia"/>
                <w:spacing w:val="2"/>
                <w:highlight w:val="none"/>
                <w:lang w:eastAsia="zh-CN"/>
              </w:rPr>
              <w:t>三级指标</w:t>
            </w:r>
          </w:p>
        </w:tc>
        <w:tc>
          <w:tcPr>
            <w:tcW w:w="1543" w:type="dxa"/>
            <w:tcBorders>
              <w:top w:val="single" w:color="auto" w:sz="4" w:space="0"/>
              <w:left w:val="single" w:color="auto" w:sz="4" w:space="0"/>
              <w:bottom w:val="single" w:color="auto" w:sz="4" w:space="0"/>
              <w:right w:val="single" w:color="auto" w:sz="4" w:space="0"/>
            </w:tcBorders>
            <w:vAlign w:val="center"/>
          </w:tcPr>
          <w:p w14:paraId="6CAB203A">
            <w:pPr>
              <w:pStyle w:val="7"/>
              <w:spacing w:before="78"/>
              <w:ind w:left="0" w:leftChars="0"/>
              <w:jc w:val="center"/>
              <w:rPr>
                <w:rFonts w:hint="eastAsia"/>
                <w:highlight w:val="none"/>
                <w:lang w:val="en-US" w:eastAsia="zh-CN"/>
              </w:rPr>
            </w:pPr>
            <w:r>
              <w:rPr>
                <w:rFonts w:hint="eastAsia"/>
                <w:spacing w:val="-7"/>
                <w:highlight w:val="none"/>
                <w:lang w:eastAsia="zh-CN"/>
              </w:rPr>
              <w:t>分值</w:t>
            </w:r>
          </w:p>
        </w:tc>
      </w:tr>
      <w:tr w14:paraId="5E3D9F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 w:hRule="atLeast"/>
        </w:trPr>
        <w:tc>
          <w:tcPr>
            <w:tcW w:w="1803" w:type="dxa"/>
            <w:vMerge w:val="restart"/>
            <w:tcBorders>
              <w:top w:val="single" w:color="auto" w:sz="4" w:space="0"/>
              <w:left w:val="single" w:color="auto" w:sz="4" w:space="0"/>
              <w:bottom w:val="single" w:color="auto" w:sz="4" w:space="0"/>
              <w:right w:val="single" w:color="auto" w:sz="4" w:space="0"/>
            </w:tcBorders>
            <w:vAlign w:val="center"/>
          </w:tcPr>
          <w:p w14:paraId="19C233E6">
            <w:pPr>
              <w:jc w:val="center"/>
              <w:rPr>
                <w:rFonts w:ascii="Arial"/>
                <w:sz w:val="21"/>
                <w:highlight w:val="none"/>
              </w:rPr>
            </w:pPr>
            <w:r>
              <w:rPr>
                <w:spacing w:val="-3"/>
                <w:highlight w:val="none"/>
              </w:rPr>
              <w:t>过程</w:t>
            </w:r>
          </w:p>
        </w:tc>
        <w:tc>
          <w:tcPr>
            <w:tcW w:w="1968" w:type="dxa"/>
            <w:vMerge w:val="restart"/>
            <w:tcBorders>
              <w:top w:val="single" w:color="auto" w:sz="4" w:space="0"/>
              <w:left w:val="single" w:color="auto" w:sz="4" w:space="0"/>
              <w:bottom w:val="single" w:color="auto" w:sz="4" w:space="0"/>
              <w:right w:val="single" w:color="auto" w:sz="4" w:space="0"/>
            </w:tcBorders>
            <w:vAlign w:val="center"/>
          </w:tcPr>
          <w:p w14:paraId="63A762A6">
            <w:pPr>
              <w:jc w:val="center"/>
              <w:rPr>
                <w:rFonts w:ascii="Arial"/>
                <w:sz w:val="21"/>
                <w:highlight w:val="none"/>
              </w:rPr>
            </w:pPr>
            <w:r>
              <w:rPr>
                <w:spacing w:val="2"/>
                <w:highlight w:val="none"/>
              </w:rPr>
              <w:t>资金管理</w:t>
            </w:r>
          </w:p>
        </w:tc>
        <w:tc>
          <w:tcPr>
            <w:tcW w:w="2806" w:type="dxa"/>
            <w:tcBorders>
              <w:top w:val="single" w:color="auto" w:sz="4" w:space="0"/>
              <w:left w:val="single" w:color="auto" w:sz="4" w:space="0"/>
              <w:bottom w:val="single" w:color="auto" w:sz="4" w:space="0"/>
              <w:right w:val="single" w:color="auto" w:sz="4" w:space="0"/>
            </w:tcBorders>
            <w:vAlign w:val="center"/>
          </w:tcPr>
          <w:p w14:paraId="35C820FC">
            <w:pPr>
              <w:pStyle w:val="7"/>
              <w:spacing w:before="78" w:line="220" w:lineRule="auto"/>
              <w:ind w:left="0"/>
              <w:jc w:val="center"/>
              <w:rPr>
                <w:spacing w:val="1"/>
                <w:highlight w:val="none"/>
              </w:rPr>
            </w:pPr>
            <w:r>
              <w:rPr>
                <w:spacing w:val="2"/>
                <w:highlight w:val="none"/>
              </w:rPr>
              <w:t>资金到位率</w:t>
            </w:r>
          </w:p>
        </w:tc>
        <w:tc>
          <w:tcPr>
            <w:tcW w:w="1543" w:type="dxa"/>
            <w:tcBorders>
              <w:top w:val="single" w:color="auto" w:sz="4" w:space="0"/>
              <w:left w:val="single" w:color="auto" w:sz="4" w:space="0"/>
              <w:bottom w:val="single" w:color="auto" w:sz="4" w:space="0"/>
              <w:right w:val="single" w:color="auto" w:sz="4" w:space="0"/>
            </w:tcBorders>
            <w:vAlign w:val="center"/>
          </w:tcPr>
          <w:p w14:paraId="6A53C8A2">
            <w:pPr>
              <w:pStyle w:val="7"/>
              <w:spacing w:before="78" w:line="241" w:lineRule="auto"/>
              <w:ind w:left="0"/>
              <w:jc w:val="center"/>
              <w:rPr>
                <w:rFonts w:hint="eastAsia"/>
                <w:highlight w:val="none"/>
                <w:lang w:val="en-US" w:eastAsia="zh-CN"/>
              </w:rPr>
            </w:pPr>
            <w:r>
              <w:rPr>
                <w:rFonts w:hint="eastAsia"/>
                <w:highlight w:val="none"/>
                <w:lang w:val="en-US" w:eastAsia="zh-CN"/>
              </w:rPr>
              <w:t>2</w:t>
            </w:r>
          </w:p>
        </w:tc>
      </w:tr>
      <w:tr w14:paraId="18AD91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 w:hRule="atLeast"/>
        </w:trPr>
        <w:tc>
          <w:tcPr>
            <w:tcW w:w="1803" w:type="dxa"/>
            <w:vMerge w:val="continue"/>
            <w:tcBorders>
              <w:top w:val="single" w:color="auto" w:sz="4" w:space="0"/>
              <w:left w:val="single" w:color="auto" w:sz="4" w:space="0"/>
              <w:bottom w:val="single" w:color="auto" w:sz="4" w:space="0"/>
              <w:right w:val="single" w:color="auto" w:sz="4" w:space="0"/>
            </w:tcBorders>
            <w:vAlign w:val="center"/>
          </w:tcPr>
          <w:p w14:paraId="691017B2">
            <w:pPr>
              <w:jc w:val="center"/>
              <w:rPr>
                <w:rFonts w:ascii="Arial"/>
                <w:sz w:val="21"/>
                <w:highlight w:val="none"/>
              </w:rPr>
            </w:pPr>
          </w:p>
        </w:tc>
        <w:tc>
          <w:tcPr>
            <w:tcW w:w="1968" w:type="dxa"/>
            <w:vMerge w:val="continue"/>
            <w:tcBorders>
              <w:top w:val="single" w:color="auto" w:sz="4" w:space="0"/>
              <w:left w:val="single" w:color="auto" w:sz="4" w:space="0"/>
              <w:bottom w:val="single" w:color="auto" w:sz="4" w:space="0"/>
              <w:right w:val="single" w:color="auto" w:sz="4" w:space="0"/>
            </w:tcBorders>
            <w:vAlign w:val="center"/>
          </w:tcPr>
          <w:p w14:paraId="554C257A">
            <w:pPr>
              <w:jc w:val="center"/>
              <w:rPr>
                <w:rFonts w:ascii="Arial"/>
                <w:sz w:val="21"/>
                <w:highlight w:val="none"/>
              </w:rPr>
            </w:pPr>
          </w:p>
        </w:tc>
        <w:tc>
          <w:tcPr>
            <w:tcW w:w="2806" w:type="dxa"/>
            <w:tcBorders>
              <w:top w:val="single" w:color="auto" w:sz="4" w:space="0"/>
              <w:left w:val="single" w:color="auto" w:sz="4" w:space="0"/>
              <w:bottom w:val="single" w:color="auto" w:sz="4" w:space="0"/>
              <w:right w:val="single" w:color="auto" w:sz="4" w:space="0"/>
            </w:tcBorders>
            <w:vAlign w:val="center"/>
          </w:tcPr>
          <w:p w14:paraId="14E37E85">
            <w:pPr>
              <w:pStyle w:val="7"/>
              <w:spacing w:before="78" w:line="220" w:lineRule="auto"/>
              <w:ind w:left="0"/>
              <w:jc w:val="center"/>
              <w:rPr>
                <w:rFonts w:hint="eastAsia" w:eastAsia="宋体"/>
                <w:spacing w:val="1"/>
                <w:highlight w:val="none"/>
                <w:lang w:eastAsia="zh-CN"/>
              </w:rPr>
            </w:pPr>
            <w:r>
              <w:rPr>
                <w:rFonts w:hint="eastAsia"/>
                <w:spacing w:val="1"/>
                <w:highlight w:val="none"/>
                <w:lang w:eastAsia="zh-CN"/>
              </w:rPr>
              <w:t>预算执行率</w:t>
            </w:r>
          </w:p>
        </w:tc>
        <w:tc>
          <w:tcPr>
            <w:tcW w:w="1543" w:type="dxa"/>
            <w:tcBorders>
              <w:top w:val="single" w:color="auto" w:sz="4" w:space="0"/>
              <w:left w:val="single" w:color="auto" w:sz="4" w:space="0"/>
              <w:bottom w:val="single" w:color="auto" w:sz="4" w:space="0"/>
              <w:right w:val="single" w:color="auto" w:sz="4" w:space="0"/>
            </w:tcBorders>
            <w:vAlign w:val="center"/>
          </w:tcPr>
          <w:p w14:paraId="27390536">
            <w:pPr>
              <w:pStyle w:val="7"/>
              <w:spacing w:before="78" w:line="241" w:lineRule="auto"/>
              <w:ind w:left="0"/>
              <w:jc w:val="center"/>
              <w:rPr>
                <w:rFonts w:hint="eastAsia" w:eastAsia="宋体"/>
                <w:highlight w:val="none"/>
                <w:lang w:val="en-US" w:eastAsia="zh-CN"/>
              </w:rPr>
            </w:pPr>
            <w:r>
              <w:rPr>
                <w:rFonts w:hint="eastAsia"/>
                <w:highlight w:val="none"/>
                <w:lang w:val="en-US" w:eastAsia="zh-CN"/>
              </w:rPr>
              <w:t>3</w:t>
            </w:r>
          </w:p>
        </w:tc>
      </w:tr>
      <w:tr w14:paraId="3905C0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 w:hRule="atLeast"/>
        </w:trPr>
        <w:tc>
          <w:tcPr>
            <w:tcW w:w="1803" w:type="dxa"/>
            <w:vMerge w:val="continue"/>
            <w:tcBorders>
              <w:top w:val="single" w:color="auto" w:sz="4" w:space="0"/>
              <w:left w:val="single" w:color="auto" w:sz="4" w:space="0"/>
              <w:bottom w:val="single" w:color="auto" w:sz="4" w:space="0"/>
              <w:right w:val="single" w:color="auto" w:sz="4" w:space="0"/>
            </w:tcBorders>
            <w:vAlign w:val="center"/>
          </w:tcPr>
          <w:p w14:paraId="4005E74F">
            <w:pPr>
              <w:jc w:val="center"/>
              <w:rPr>
                <w:rFonts w:ascii="Arial"/>
                <w:sz w:val="21"/>
                <w:highlight w:val="none"/>
              </w:rPr>
            </w:pPr>
          </w:p>
        </w:tc>
        <w:tc>
          <w:tcPr>
            <w:tcW w:w="1968" w:type="dxa"/>
            <w:vMerge w:val="continue"/>
            <w:tcBorders>
              <w:top w:val="single" w:color="auto" w:sz="4" w:space="0"/>
              <w:left w:val="single" w:color="auto" w:sz="4" w:space="0"/>
              <w:bottom w:val="single" w:color="auto" w:sz="4" w:space="0"/>
              <w:right w:val="single" w:color="auto" w:sz="4" w:space="0"/>
            </w:tcBorders>
            <w:vAlign w:val="center"/>
          </w:tcPr>
          <w:p w14:paraId="0756E3A2">
            <w:pPr>
              <w:jc w:val="center"/>
              <w:rPr>
                <w:rFonts w:ascii="Arial"/>
                <w:sz w:val="21"/>
                <w:highlight w:val="none"/>
              </w:rPr>
            </w:pPr>
          </w:p>
        </w:tc>
        <w:tc>
          <w:tcPr>
            <w:tcW w:w="2806" w:type="dxa"/>
            <w:tcBorders>
              <w:top w:val="single" w:color="auto" w:sz="4" w:space="0"/>
              <w:left w:val="single" w:color="auto" w:sz="4" w:space="0"/>
              <w:bottom w:val="single" w:color="auto" w:sz="4" w:space="0"/>
              <w:right w:val="single" w:color="auto" w:sz="4" w:space="0"/>
            </w:tcBorders>
            <w:vAlign w:val="center"/>
          </w:tcPr>
          <w:p w14:paraId="72CD445A">
            <w:pPr>
              <w:pStyle w:val="7"/>
              <w:spacing w:before="78" w:line="220" w:lineRule="auto"/>
              <w:ind w:left="0"/>
              <w:jc w:val="center"/>
              <w:rPr>
                <w:spacing w:val="1"/>
                <w:highlight w:val="none"/>
              </w:rPr>
            </w:pPr>
            <w:r>
              <w:rPr>
                <w:spacing w:val="1"/>
                <w:highlight w:val="none"/>
              </w:rPr>
              <w:t>资金使用合规性</w:t>
            </w:r>
          </w:p>
        </w:tc>
        <w:tc>
          <w:tcPr>
            <w:tcW w:w="1543" w:type="dxa"/>
            <w:tcBorders>
              <w:top w:val="single" w:color="auto" w:sz="4" w:space="0"/>
              <w:left w:val="single" w:color="auto" w:sz="4" w:space="0"/>
              <w:bottom w:val="single" w:color="auto" w:sz="4" w:space="0"/>
              <w:right w:val="single" w:color="auto" w:sz="4" w:space="0"/>
            </w:tcBorders>
            <w:vAlign w:val="center"/>
          </w:tcPr>
          <w:p w14:paraId="213129A3">
            <w:pPr>
              <w:pStyle w:val="7"/>
              <w:spacing w:before="78" w:line="241" w:lineRule="auto"/>
              <w:ind w:left="0"/>
              <w:jc w:val="center"/>
              <w:rPr>
                <w:rFonts w:hint="eastAsia" w:eastAsia="宋体"/>
                <w:highlight w:val="none"/>
                <w:lang w:val="en-US" w:eastAsia="zh-CN"/>
              </w:rPr>
            </w:pPr>
            <w:r>
              <w:rPr>
                <w:rFonts w:hint="eastAsia"/>
                <w:highlight w:val="none"/>
                <w:lang w:val="en-US" w:eastAsia="zh-CN"/>
              </w:rPr>
              <w:t>5</w:t>
            </w:r>
          </w:p>
        </w:tc>
      </w:tr>
      <w:tr w14:paraId="0E783C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 w:hRule="atLeast"/>
        </w:trPr>
        <w:tc>
          <w:tcPr>
            <w:tcW w:w="1803" w:type="dxa"/>
            <w:vMerge w:val="continue"/>
            <w:tcBorders>
              <w:top w:val="single" w:color="auto" w:sz="4" w:space="0"/>
              <w:left w:val="single" w:color="auto" w:sz="4" w:space="0"/>
              <w:bottom w:val="single" w:color="auto" w:sz="4" w:space="0"/>
              <w:right w:val="single" w:color="auto" w:sz="4" w:space="0"/>
            </w:tcBorders>
            <w:vAlign w:val="center"/>
          </w:tcPr>
          <w:p w14:paraId="07847A67">
            <w:pPr>
              <w:jc w:val="center"/>
              <w:rPr>
                <w:rFonts w:ascii="Arial"/>
                <w:sz w:val="21"/>
                <w:highlight w:val="none"/>
              </w:rPr>
            </w:pPr>
          </w:p>
        </w:tc>
        <w:tc>
          <w:tcPr>
            <w:tcW w:w="1968" w:type="dxa"/>
            <w:vMerge w:val="restart"/>
            <w:tcBorders>
              <w:top w:val="single" w:color="auto" w:sz="4" w:space="0"/>
              <w:left w:val="single" w:color="auto" w:sz="4" w:space="0"/>
              <w:bottom w:val="single" w:color="auto" w:sz="4" w:space="0"/>
              <w:right w:val="single" w:color="auto" w:sz="4" w:space="0"/>
            </w:tcBorders>
            <w:vAlign w:val="center"/>
          </w:tcPr>
          <w:p w14:paraId="0A0B23D6">
            <w:pPr>
              <w:jc w:val="center"/>
              <w:rPr>
                <w:rFonts w:ascii="Arial"/>
                <w:sz w:val="21"/>
                <w:highlight w:val="none"/>
              </w:rPr>
            </w:pPr>
            <w:r>
              <w:rPr>
                <w:spacing w:val="2"/>
                <w:highlight w:val="none"/>
              </w:rPr>
              <w:t>组织实施</w:t>
            </w:r>
          </w:p>
        </w:tc>
        <w:tc>
          <w:tcPr>
            <w:tcW w:w="2806" w:type="dxa"/>
            <w:tcBorders>
              <w:top w:val="single" w:color="auto" w:sz="4" w:space="0"/>
              <w:left w:val="single" w:color="auto" w:sz="4" w:space="0"/>
              <w:bottom w:val="single" w:color="auto" w:sz="4" w:space="0"/>
              <w:right w:val="single" w:color="auto" w:sz="4" w:space="0"/>
            </w:tcBorders>
            <w:vAlign w:val="center"/>
          </w:tcPr>
          <w:p w14:paraId="6F84332C">
            <w:pPr>
              <w:pStyle w:val="7"/>
              <w:spacing w:before="78" w:line="220" w:lineRule="auto"/>
              <w:ind w:left="0"/>
              <w:jc w:val="center"/>
              <w:rPr>
                <w:spacing w:val="1"/>
                <w:highlight w:val="none"/>
              </w:rPr>
            </w:pPr>
            <w:r>
              <w:rPr>
                <w:spacing w:val="1"/>
                <w:highlight w:val="none"/>
              </w:rPr>
              <w:t>管理制度健全性</w:t>
            </w:r>
          </w:p>
        </w:tc>
        <w:tc>
          <w:tcPr>
            <w:tcW w:w="1543" w:type="dxa"/>
            <w:tcBorders>
              <w:top w:val="single" w:color="auto" w:sz="4" w:space="0"/>
              <w:left w:val="single" w:color="auto" w:sz="4" w:space="0"/>
              <w:bottom w:val="single" w:color="auto" w:sz="4" w:space="0"/>
              <w:right w:val="single" w:color="auto" w:sz="4" w:space="0"/>
            </w:tcBorders>
            <w:vAlign w:val="center"/>
          </w:tcPr>
          <w:p w14:paraId="20B26DC1">
            <w:pPr>
              <w:pStyle w:val="7"/>
              <w:spacing w:before="78" w:line="241" w:lineRule="auto"/>
              <w:ind w:left="0"/>
              <w:jc w:val="center"/>
              <w:rPr>
                <w:rFonts w:hint="eastAsia" w:eastAsia="宋体"/>
                <w:highlight w:val="none"/>
                <w:lang w:val="en-US" w:eastAsia="zh-CN"/>
              </w:rPr>
            </w:pPr>
            <w:r>
              <w:rPr>
                <w:rFonts w:hint="eastAsia"/>
                <w:highlight w:val="none"/>
                <w:lang w:val="en-US" w:eastAsia="zh-CN"/>
              </w:rPr>
              <w:t>5</w:t>
            </w:r>
          </w:p>
        </w:tc>
      </w:tr>
      <w:tr w14:paraId="21343C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 w:hRule="atLeast"/>
        </w:trPr>
        <w:tc>
          <w:tcPr>
            <w:tcW w:w="1803" w:type="dxa"/>
            <w:vMerge w:val="continue"/>
            <w:tcBorders>
              <w:top w:val="single" w:color="auto" w:sz="4" w:space="0"/>
              <w:left w:val="single" w:color="auto" w:sz="4" w:space="0"/>
              <w:bottom w:val="single" w:color="auto" w:sz="4" w:space="0"/>
              <w:right w:val="single" w:color="auto" w:sz="4" w:space="0"/>
            </w:tcBorders>
            <w:vAlign w:val="center"/>
          </w:tcPr>
          <w:p w14:paraId="1DC01EB1">
            <w:pPr>
              <w:jc w:val="center"/>
              <w:rPr>
                <w:rFonts w:ascii="Arial"/>
                <w:sz w:val="21"/>
                <w:highlight w:val="none"/>
              </w:rPr>
            </w:pPr>
          </w:p>
        </w:tc>
        <w:tc>
          <w:tcPr>
            <w:tcW w:w="1968" w:type="dxa"/>
            <w:vMerge w:val="continue"/>
            <w:tcBorders>
              <w:top w:val="single" w:color="auto" w:sz="4" w:space="0"/>
              <w:left w:val="single" w:color="auto" w:sz="4" w:space="0"/>
              <w:bottom w:val="single" w:color="auto" w:sz="4" w:space="0"/>
              <w:right w:val="single" w:color="auto" w:sz="4" w:space="0"/>
            </w:tcBorders>
            <w:vAlign w:val="center"/>
          </w:tcPr>
          <w:p w14:paraId="210B4A3D">
            <w:pPr>
              <w:jc w:val="center"/>
              <w:rPr>
                <w:rFonts w:ascii="Arial"/>
                <w:sz w:val="21"/>
                <w:highlight w:val="none"/>
              </w:rPr>
            </w:pPr>
          </w:p>
        </w:tc>
        <w:tc>
          <w:tcPr>
            <w:tcW w:w="2806" w:type="dxa"/>
            <w:tcBorders>
              <w:top w:val="single" w:color="auto" w:sz="4" w:space="0"/>
              <w:left w:val="single" w:color="auto" w:sz="4" w:space="0"/>
              <w:bottom w:val="single" w:color="auto" w:sz="4" w:space="0"/>
              <w:right w:val="single" w:color="auto" w:sz="4" w:space="0"/>
            </w:tcBorders>
            <w:vAlign w:val="center"/>
          </w:tcPr>
          <w:p w14:paraId="4322BEB6">
            <w:pPr>
              <w:pStyle w:val="7"/>
              <w:spacing w:before="78" w:line="220" w:lineRule="auto"/>
              <w:ind w:left="0"/>
              <w:jc w:val="center"/>
              <w:rPr>
                <w:spacing w:val="1"/>
                <w:highlight w:val="none"/>
              </w:rPr>
            </w:pPr>
            <w:r>
              <w:rPr>
                <w:spacing w:val="-2"/>
                <w:highlight w:val="none"/>
              </w:rPr>
              <w:t>制度执行有效性</w:t>
            </w:r>
          </w:p>
        </w:tc>
        <w:tc>
          <w:tcPr>
            <w:tcW w:w="1543" w:type="dxa"/>
            <w:tcBorders>
              <w:top w:val="single" w:color="auto" w:sz="4" w:space="0"/>
              <w:left w:val="single" w:color="auto" w:sz="4" w:space="0"/>
              <w:bottom w:val="single" w:color="auto" w:sz="4" w:space="0"/>
              <w:right w:val="single" w:color="auto" w:sz="4" w:space="0"/>
            </w:tcBorders>
            <w:vAlign w:val="center"/>
          </w:tcPr>
          <w:p w14:paraId="14998EA6">
            <w:pPr>
              <w:pStyle w:val="7"/>
              <w:spacing w:before="78" w:line="241" w:lineRule="auto"/>
              <w:ind w:left="0"/>
              <w:jc w:val="center"/>
              <w:rPr>
                <w:rFonts w:hint="eastAsia" w:eastAsia="宋体"/>
                <w:highlight w:val="none"/>
                <w:lang w:val="en-US" w:eastAsia="zh-CN"/>
              </w:rPr>
            </w:pPr>
            <w:r>
              <w:rPr>
                <w:rFonts w:hint="eastAsia"/>
                <w:highlight w:val="none"/>
                <w:lang w:val="en-US" w:eastAsia="zh-CN"/>
              </w:rPr>
              <w:t>5</w:t>
            </w:r>
          </w:p>
        </w:tc>
      </w:tr>
      <w:tr w14:paraId="47F8DA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 w:hRule="atLeast"/>
        </w:trPr>
        <w:tc>
          <w:tcPr>
            <w:tcW w:w="1803" w:type="dxa"/>
            <w:vMerge w:val="restart"/>
            <w:tcBorders>
              <w:top w:val="single" w:color="auto" w:sz="4" w:space="0"/>
              <w:left w:val="single" w:color="auto" w:sz="4" w:space="0"/>
              <w:right w:val="single" w:color="auto" w:sz="4" w:space="0"/>
            </w:tcBorders>
            <w:vAlign w:val="center"/>
          </w:tcPr>
          <w:p w14:paraId="3E09401F">
            <w:pPr>
              <w:jc w:val="center"/>
              <w:rPr>
                <w:rFonts w:ascii="Arial"/>
                <w:sz w:val="21"/>
                <w:highlight w:val="none"/>
              </w:rPr>
            </w:pPr>
            <w:r>
              <w:rPr>
                <w:spacing w:val="14"/>
                <w:highlight w:val="none"/>
              </w:rPr>
              <w:t>产出</w:t>
            </w:r>
          </w:p>
        </w:tc>
        <w:tc>
          <w:tcPr>
            <w:tcW w:w="1968" w:type="dxa"/>
            <w:tcBorders>
              <w:top w:val="single" w:color="auto" w:sz="4" w:space="0"/>
              <w:left w:val="single" w:color="auto" w:sz="4" w:space="0"/>
              <w:bottom w:val="single" w:color="auto" w:sz="4" w:space="0"/>
              <w:right w:val="single" w:color="auto" w:sz="4" w:space="0"/>
            </w:tcBorders>
            <w:vAlign w:val="center"/>
          </w:tcPr>
          <w:p w14:paraId="0E424962">
            <w:pPr>
              <w:jc w:val="center"/>
              <w:rPr>
                <w:rFonts w:ascii="Arial"/>
                <w:sz w:val="21"/>
                <w:highlight w:val="none"/>
              </w:rPr>
            </w:pPr>
            <w:r>
              <w:rPr>
                <w:spacing w:val="-2"/>
                <w:highlight w:val="none"/>
              </w:rPr>
              <w:t>产出数量</w:t>
            </w:r>
          </w:p>
        </w:tc>
        <w:tc>
          <w:tcPr>
            <w:tcW w:w="2806" w:type="dxa"/>
            <w:tcBorders>
              <w:top w:val="single" w:color="auto" w:sz="4" w:space="0"/>
              <w:left w:val="single" w:color="auto" w:sz="4" w:space="0"/>
              <w:bottom w:val="single" w:color="auto" w:sz="4" w:space="0"/>
              <w:right w:val="single" w:color="auto" w:sz="4" w:space="0"/>
            </w:tcBorders>
            <w:vAlign w:val="center"/>
          </w:tcPr>
          <w:p w14:paraId="65D44AF7">
            <w:pPr>
              <w:pStyle w:val="7"/>
              <w:spacing w:before="78" w:line="220" w:lineRule="auto"/>
              <w:ind w:left="0"/>
              <w:jc w:val="center"/>
              <w:rPr>
                <w:spacing w:val="-2"/>
                <w:highlight w:val="none"/>
              </w:rPr>
            </w:pPr>
            <w:r>
              <w:rPr>
                <w:spacing w:val="2"/>
                <w:highlight w:val="none"/>
              </w:rPr>
              <w:t>实际完成率</w:t>
            </w:r>
          </w:p>
        </w:tc>
        <w:tc>
          <w:tcPr>
            <w:tcW w:w="1543" w:type="dxa"/>
            <w:tcBorders>
              <w:top w:val="single" w:color="auto" w:sz="4" w:space="0"/>
              <w:left w:val="single" w:color="auto" w:sz="4" w:space="0"/>
              <w:bottom w:val="single" w:color="auto" w:sz="4" w:space="0"/>
              <w:right w:val="single" w:color="auto" w:sz="4" w:space="0"/>
            </w:tcBorders>
            <w:vAlign w:val="center"/>
          </w:tcPr>
          <w:p w14:paraId="323879A9">
            <w:pPr>
              <w:pStyle w:val="7"/>
              <w:spacing w:before="78" w:line="241" w:lineRule="auto"/>
              <w:ind w:left="0"/>
              <w:jc w:val="center"/>
              <w:rPr>
                <w:rFonts w:hint="default"/>
                <w:highlight w:val="none"/>
                <w:lang w:val="en-US" w:eastAsia="zh-CN"/>
              </w:rPr>
            </w:pPr>
            <w:r>
              <w:rPr>
                <w:rFonts w:hint="eastAsia"/>
                <w:highlight w:val="none"/>
                <w:lang w:val="en-US" w:eastAsia="zh-CN"/>
              </w:rPr>
              <w:t>10</w:t>
            </w:r>
          </w:p>
        </w:tc>
      </w:tr>
      <w:tr w14:paraId="5D245A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 w:hRule="atLeast"/>
        </w:trPr>
        <w:tc>
          <w:tcPr>
            <w:tcW w:w="1803" w:type="dxa"/>
            <w:vMerge w:val="continue"/>
            <w:tcBorders>
              <w:left w:val="single" w:color="auto" w:sz="4" w:space="0"/>
              <w:right w:val="single" w:color="auto" w:sz="4" w:space="0"/>
            </w:tcBorders>
            <w:vAlign w:val="center"/>
          </w:tcPr>
          <w:p w14:paraId="05C6B7E9">
            <w:pPr>
              <w:jc w:val="center"/>
              <w:rPr>
                <w:rFonts w:ascii="Arial"/>
                <w:sz w:val="21"/>
                <w:highlight w:val="none"/>
              </w:rPr>
            </w:pPr>
          </w:p>
        </w:tc>
        <w:tc>
          <w:tcPr>
            <w:tcW w:w="1968" w:type="dxa"/>
            <w:tcBorders>
              <w:top w:val="single" w:color="auto" w:sz="4" w:space="0"/>
              <w:left w:val="single" w:color="auto" w:sz="4" w:space="0"/>
              <w:bottom w:val="single" w:color="auto" w:sz="4" w:space="0"/>
              <w:right w:val="single" w:color="auto" w:sz="4" w:space="0"/>
            </w:tcBorders>
            <w:vAlign w:val="center"/>
          </w:tcPr>
          <w:p w14:paraId="052A28A7">
            <w:pPr>
              <w:jc w:val="center"/>
              <w:rPr>
                <w:rFonts w:ascii="Arial"/>
                <w:sz w:val="21"/>
                <w:highlight w:val="none"/>
              </w:rPr>
            </w:pPr>
            <w:r>
              <w:rPr>
                <w:spacing w:val="-2"/>
                <w:highlight w:val="none"/>
              </w:rPr>
              <w:t>产出质量</w:t>
            </w:r>
          </w:p>
        </w:tc>
        <w:tc>
          <w:tcPr>
            <w:tcW w:w="2806" w:type="dxa"/>
            <w:tcBorders>
              <w:top w:val="single" w:color="auto" w:sz="4" w:space="0"/>
              <w:left w:val="single" w:color="auto" w:sz="4" w:space="0"/>
              <w:bottom w:val="single" w:color="auto" w:sz="4" w:space="0"/>
              <w:right w:val="single" w:color="auto" w:sz="4" w:space="0"/>
            </w:tcBorders>
            <w:vAlign w:val="center"/>
          </w:tcPr>
          <w:p w14:paraId="1C8F0B2F">
            <w:pPr>
              <w:pStyle w:val="7"/>
              <w:spacing w:before="78" w:line="220" w:lineRule="auto"/>
              <w:ind w:left="0"/>
              <w:jc w:val="center"/>
              <w:rPr>
                <w:spacing w:val="-2"/>
                <w:highlight w:val="none"/>
              </w:rPr>
            </w:pPr>
            <w:r>
              <w:rPr>
                <w:spacing w:val="2"/>
                <w:highlight w:val="none"/>
              </w:rPr>
              <w:t>质量达标率</w:t>
            </w:r>
          </w:p>
        </w:tc>
        <w:tc>
          <w:tcPr>
            <w:tcW w:w="1543" w:type="dxa"/>
            <w:tcBorders>
              <w:top w:val="single" w:color="auto" w:sz="4" w:space="0"/>
              <w:left w:val="single" w:color="auto" w:sz="4" w:space="0"/>
              <w:bottom w:val="single" w:color="auto" w:sz="4" w:space="0"/>
              <w:right w:val="single" w:color="auto" w:sz="4" w:space="0"/>
            </w:tcBorders>
            <w:vAlign w:val="center"/>
          </w:tcPr>
          <w:p w14:paraId="61B8F0DB">
            <w:pPr>
              <w:pStyle w:val="7"/>
              <w:spacing w:before="78" w:line="241" w:lineRule="auto"/>
              <w:ind w:left="0"/>
              <w:jc w:val="center"/>
              <w:rPr>
                <w:rFonts w:hint="default"/>
                <w:highlight w:val="none"/>
                <w:lang w:val="en-US" w:eastAsia="zh-CN"/>
              </w:rPr>
            </w:pPr>
            <w:r>
              <w:rPr>
                <w:rFonts w:hint="eastAsia"/>
                <w:highlight w:val="none"/>
                <w:lang w:val="en-US" w:eastAsia="zh-CN"/>
              </w:rPr>
              <w:t>10</w:t>
            </w:r>
          </w:p>
        </w:tc>
      </w:tr>
      <w:tr w14:paraId="0B807A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 w:hRule="atLeast"/>
        </w:trPr>
        <w:tc>
          <w:tcPr>
            <w:tcW w:w="1803" w:type="dxa"/>
            <w:vMerge w:val="continue"/>
            <w:tcBorders>
              <w:left w:val="single" w:color="auto" w:sz="4" w:space="0"/>
              <w:right w:val="single" w:color="auto" w:sz="4" w:space="0"/>
            </w:tcBorders>
            <w:vAlign w:val="center"/>
          </w:tcPr>
          <w:p w14:paraId="5902FC78">
            <w:pPr>
              <w:jc w:val="center"/>
              <w:rPr>
                <w:rFonts w:ascii="Arial"/>
                <w:sz w:val="21"/>
                <w:highlight w:val="none"/>
              </w:rPr>
            </w:pPr>
          </w:p>
        </w:tc>
        <w:tc>
          <w:tcPr>
            <w:tcW w:w="1968" w:type="dxa"/>
            <w:tcBorders>
              <w:top w:val="single" w:color="auto" w:sz="4" w:space="0"/>
              <w:left w:val="single" w:color="auto" w:sz="4" w:space="0"/>
              <w:bottom w:val="single" w:color="auto" w:sz="4" w:space="0"/>
              <w:right w:val="single" w:color="auto" w:sz="4" w:space="0"/>
            </w:tcBorders>
            <w:vAlign w:val="center"/>
          </w:tcPr>
          <w:p w14:paraId="47F1BB90">
            <w:pPr>
              <w:jc w:val="center"/>
              <w:rPr>
                <w:rFonts w:ascii="Arial"/>
                <w:sz w:val="21"/>
                <w:highlight w:val="none"/>
              </w:rPr>
            </w:pPr>
            <w:r>
              <w:rPr>
                <w:spacing w:val="-2"/>
                <w:highlight w:val="none"/>
              </w:rPr>
              <w:t>产出时效</w:t>
            </w:r>
          </w:p>
        </w:tc>
        <w:tc>
          <w:tcPr>
            <w:tcW w:w="2806" w:type="dxa"/>
            <w:tcBorders>
              <w:top w:val="single" w:color="auto" w:sz="4" w:space="0"/>
              <w:left w:val="single" w:color="auto" w:sz="4" w:space="0"/>
              <w:bottom w:val="single" w:color="auto" w:sz="4" w:space="0"/>
              <w:right w:val="single" w:color="auto" w:sz="4" w:space="0"/>
            </w:tcBorders>
            <w:vAlign w:val="center"/>
          </w:tcPr>
          <w:p w14:paraId="589AA662">
            <w:pPr>
              <w:pStyle w:val="7"/>
              <w:spacing w:before="78" w:line="220" w:lineRule="auto"/>
              <w:ind w:left="0"/>
              <w:jc w:val="center"/>
              <w:rPr>
                <w:spacing w:val="-2"/>
                <w:highlight w:val="none"/>
              </w:rPr>
            </w:pPr>
            <w:r>
              <w:rPr>
                <w:spacing w:val="1"/>
                <w:highlight w:val="none"/>
              </w:rPr>
              <w:t>完成及时性</w:t>
            </w:r>
          </w:p>
        </w:tc>
        <w:tc>
          <w:tcPr>
            <w:tcW w:w="1543" w:type="dxa"/>
            <w:tcBorders>
              <w:top w:val="single" w:color="auto" w:sz="4" w:space="0"/>
              <w:left w:val="single" w:color="auto" w:sz="4" w:space="0"/>
              <w:bottom w:val="single" w:color="auto" w:sz="4" w:space="0"/>
              <w:right w:val="single" w:color="auto" w:sz="4" w:space="0"/>
            </w:tcBorders>
            <w:vAlign w:val="center"/>
          </w:tcPr>
          <w:p w14:paraId="7C1D6649">
            <w:pPr>
              <w:pStyle w:val="7"/>
              <w:spacing w:before="78" w:line="241" w:lineRule="auto"/>
              <w:ind w:left="0"/>
              <w:jc w:val="center"/>
              <w:rPr>
                <w:rFonts w:hint="default"/>
                <w:highlight w:val="none"/>
                <w:lang w:val="en-US" w:eastAsia="zh-CN"/>
              </w:rPr>
            </w:pPr>
            <w:r>
              <w:rPr>
                <w:rFonts w:hint="eastAsia"/>
                <w:highlight w:val="none"/>
                <w:lang w:val="en-US" w:eastAsia="zh-CN"/>
              </w:rPr>
              <w:t>10</w:t>
            </w:r>
          </w:p>
        </w:tc>
      </w:tr>
      <w:tr w14:paraId="37F823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 w:hRule="atLeast"/>
        </w:trPr>
        <w:tc>
          <w:tcPr>
            <w:tcW w:w="1803" w:type="dxa"/>
            <w:vMerge w:val="continue"/>
            <w:tcBorders>
              <w:left w:val="single" w:color="auto" w:sz="4" w:space="0"/>
              <w:bottom w:val="single" w:color="auto" w:sz="4" w:space="0"/>
              <w:right w:val="single" w:color="auto" w:sz="4" w:space="0"/>
            </w:tcBorders>
            <w:vAlign w:val="center"/>
          </w:tcPr>
          <w:p w14:paraId="1B1FCA4C">
            <w:pPr>
              <w:jc w:val="center"/>
              <w:rPr>
                <w:rFonts w:ascii="Arial"/>
                <w:sz w:val="21"/>
                <w:highlight w:val="none"/>
              </w:rPr>
            </w:pPr>
          </w:p>
        </w:tc>
        <w:tc>
          <w:tcPr>
            <w:tcW w:w="1968" w:type="dxa"/>
            <w:tcBorders>
              <w:top w:val="single" w:color="auto" w:sz="4" w:space="0"/>
              <w:left w:val="single" w:color="auto" w:sz="4" w:space="0"/>
              <w:bottom w:val="single" w:color="auto" w:sz="4" w:space="0"/>
              <w:right w:val="single" w:color="auto" w:sz="4" w:space="0"/>
            </w:tcBorders>
            <w:vAlign w:val="center"/>
          </w:tcPr>
          <w:p w14:paraId="7F31044B">
            <w:pPr>
              <w:jc w:val="center"/>
              <w:rPr>
                <w:rFonts w:ascii="Arial"/>
                <w:sz w:val="21"/>
                <w:highlight w:val="none"/>
              </w:rPr>
            </w:pPr>
            <w:r>
              <w:rPr>
                <w:spacing w:val="2"/>
                <w:highlight w:val="none"/>
              </w:rPr>
              <w:t>产出成本</w:t>
            </w:r>
          </w:p>
        </w:tc>
        <w:tc>
          <w:tcPr>
            <w:tcW w:w="2806" w:type="dxa"/>
            <w:tcBorders>
              <w:top w:val="single" w:color="auto" w:sz="4" w:space="0"/>
              <w:left w:val="single" w:color="auto" w:sz="4" w:space="0"/>
              <w:bottom w:val="single" w:color="auto" w:sz="4" w:space="0"/>
              <w:right w:val="single" w:color="auto" w:sz="4" w:space="0"/>
            </w:tcBorders>
            <w:vAlign w:val="center"/>
          </w:tcPr>
          <w:p w14:paraId="5AA95C62">
            <w:pPr>
              <w:pStyle w:val="7"/>
              <w:spacing w:before="78" w:line="220" w:lineRule="auto"/>
              <w:ind w:left="0"/>
              <w:jc w:val="center"/>
              <w:rPr>
                <w:spacing w:val="-2"/>
                <w:highlight w:val="none"/>
              </w:rPr>
            </w:pPr>
            <w:r>
              <w:rPr>
                <w:spacing w:val="2"/>
                <w:highlight w:val="none"/>
              </w:rPr>
              <w:t>成本节约率</w:t>
            </w:r>
          </w:p>
        </w:tc>
        <w:tc>
          <w:tcPr>
            <w:tcW w:w="1543" w:type="dxa"/>
            <w:tcBorders>
              <w:top w:val="single" w:color="auto" w:sz="4" w:space="0"/>
              <w:left w:val="single" w:color="auto" w:sz="4" w:space="0"/>
              <w:bottom w:val="single" w:color="auto" w:sz="4" w:space="0"/>
              <w:right w:val="single" w:color="auto" w:sz="4" w:space="0"/>
            </w:tcBorders>
            <w:vAlign w:val="center"/>
          </w:tcPr>
          <w:p w14:paraId="1C199A06">
            <w:pPr>
              <w:pStyle w:val="7"/>
              <w:spacing w:before="78" w:line="241" w:lineRule="auto"/>
              <w:ind w:left="0"/>
              <w:jc w:val="center"/>
              <w:rPr>
                <w:rFonts w:hint="default"/>
                <w:highlight w:val="none"/>
                <w:lang w:val="en-US" w:eastAsia="zh-CN"/>
              </w:rPr>
            </w:pPr>
            <w:r>
              <w:rPr>
                <w:rFonts w:hint="eastAsia"/>
                <w:highlight w:val="none"/>
                <w:lang w:val="en-US" w:eastAsia="zh-CN"/>
              </w:rPr>
              <w:t>10</w:t>
            </w:r>
          </w:p>
        </w:tc>
      </w:tr>
      <w:tr w14:paraId="156FDD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 w:hRule="atLeast"/>
        </w:trPr>
        <w:tc>
          <w:tcPr>
            <w:tcW w:w="1803" w:type="dxa"/>
            <w:vMerge w:val="restart"/>
            <w:tcBorders>
              <w:top w:val="single" w:color="auto" w:sz="4" w:space="0"/>
              <w:left w:val="single" w:color="auto" w:sz="4" w:space="0"/>
              <w:right w:val="single" w:color="auto" w:sz="4" w:space="0"/>
            </w:tcBorders>
            <w:vAlign w:val="center"/>
          </w:tcPr>
          <w:p w14:paraId="230A234D">
            <w:pPr>
              <w:jc w:val="center"/>
              <w:rPr>
                <w:rFonts w:ascii="Arial"/>
                <w:sz w:val="21"/>
                <w:highlight w:val="none"/>
              </w:rPr>
            </w:pPr>
            <w:r>
              <w:rPr>
                <w:rFonts w:hint="eastAsia" w:eastAsia="宋体"/>
                <w:sz w:val="21"/>
                <w:highlight w:val="none"/>
                <w:lang w:eastAsia="zh-CN"/>
              </w:rPr>
              <w:t>效益</w:t>
            </w:r>
          </w:p>
        </w:tc>
        <w:tc>
          <w:tcPr>
            <w:tcW w:w="1968" w:type="dxa"/>
            <w:vMerge w:val="restart"/>
            <w:tcBorders>
              <w:top w:val="single" w:color="auto" w:sz="4" w:space="0"/>
              <w:left w:val="single" w:color="auto" w:sz="4" w:space="0"/>
              <w:right w:val="single" w:color="auto" w:sz="4" w:space="0"/>
            </w:tcBorders>
            <w:vAlign w:val="center"/>
          </w:tcPr>
          <w:p w14:paraId="63FC79E2">
            <w:pPr>
              <w:jc w:val="center"/>
              <w:rPr>
                <w:rFonts w:ascii="Arial"/>
                <w:sz w:val="21"/>
                <w:highlight w:val="none"/>
              </w:rPr>
            </w:pPr>
            <w:r>
              <w:rPr>
                <w:rFonts w:hint="eastAsia"/>
                <w:spacing w:val="2"/>
                <w:highlight w:val="none"/>
                <w:lang w:eastAsia="zh-CN"/>
              </w:rPr>
              <w:t>项目效益</w:t>
            </w:r>
          </w:p>
        </w:tc>
        <w:tc>
          <w:tcPr>
            <w:tcW w:w="2806" w:type="dxa"/>
            <w:tcBorders>
              <w:top w:val="single" w:color="auto" w:sz="4" w:space="0"/>
              <w:left w:val="single" w:color="auto" w:sz="4" w:space="0"/>
              <w:bottom w:val="single" w:color="auto" w:sz="4" w:space="0"/>
              <w:right w:val="single" w:color="auto" w:sz="4" w:space="0"/>
            </w:tcBorders>
            <w:vAlign w:val="center"/>
          </w:tcPr>
          <w:p w14:paraId="6FA1CDF5">
            <w:pPr>
              <w:pStyle w:val="7"/>
              <w:spacing w:before="99" w:line="220" w:lineRule="auto"/>
              <w:ind w:left="0" w:leftChars="0"/>
              <w:jc w:val="center"/>
              <w:rPr>
                <w:spacing w:val="-2"/>
                <w:highlight w:val="none"/>
              </w:rPr>
            </w:pPr>
            <w:r>
              <w:rPr>
                <w:spacing w:val="2"/>
                <w:highlight w:val="none"/>
              </w:rPr>
              <w:t>实施效益</w:t>
            </w:r>
          </w:p>
        </w:tc>
        <w:tc>
          <w:tcPr>
            <w:tcW w:w="1543" w:type="dxa"/>
            <w:tcBorders>
              <w:top w:val="single" w:color="auto" w:sz="4" w:space="0"/>
              <w:left w:val="single" w:color="auto" w:sz="4" w:space="0"/>
              <w:bottom w:val="single" w:color="auto" w:sz="4" w:space="0"/>
              <w:right w:val="single" w:color="auto" w:sz="4" w:space="0"/>
            </w:tcBorders>
            <w:vAlign w:val="center"/>
          </w:tcPr>
          <w:p w14:paraId="10F086B7">
            <w:pPr>
              <w:pStyle w:val="7"/>
              <w:spacing w:before="122" w:line="221" w:lineRule="auto"/>
              <w:ind w:left="0" w:leftChars="0"/>
              <w:jc w:val="center"/>
              <w:rPr>
                <w:rFonts w:hint="eastAsia"/>
                <w:highlight w:val="none"/>
                <w:lang w:val="en-US" w:eastAsia="zh-CN"/>
              </w:rPr>
            </w:pPr>
            <w:r>
              <w:rPr>
                <w:spacing w:val="-4"/>
                <w:highlight w:val="none"/>
              </w:rPr>
              <w:t>20</w:t>
            </w:r>
          </w:p>
        </w:tc>
      </w:tr>
      <w:tr w14:paraId="3FB0E5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 w:hRule="atLeast"/>
        </w:trPr>
        <w:tc>
          <w:tcPr>
            <w:tcW w:w="1803" w:type="dxa"/>
            <w:vMerge w:val="continue"/>
            <w:tcBorders>
              <w:left w:val="single" w:color="auto" w:sz="4" w:space="0"/>
              <w:bottom w:val="single" w:color="auto" w:sz="4" w:space="0"/>
              <w:right w:val="single" w:color="auto" w:sz="4" w:space="0"/>
            </w:tcBorders>
            <w:vAlign w:val="center"/>
          </w:tcPr>
          <w:p w14:paraId="329F7634">
            <w:pPr>
              <w:jc w:val="center"/>
              <w:rPr>
                <w:rFonts w:ascii="Arial"/>
                <w:sz w:val="21"/>
                <w:highlight w:val="none"/>
              </w:rPr>
            </w:pPr>
          </w:p>
        </w:tc>
        <w:tc>
          <w:tcPr>
            <w:tcW w:w="1968" w:type="dxa"/>
            <w:vMerge w:val="continue"/>
            <w:tcBorders>
              <w:left w:val="single" w:color="auto" w:sz="4" w:space="0"/>
              <w:bottom w:val="single" w:color="auto" w:sz="4" w:space="0"/>
              <w:right w:val="single" w:color="auto" w:sz="4" w:space="0"/>
            </w:tcBorders>
            <w:vAlign w:val="center"/>
          </w:tcPr>
          <w:p w14:paraId="514146B8">
            <w:pPr>
              <w:jc w:val="center"/>
              <w:rPr>
                <w:rFonts w:ascii="Arial"/>
                <w:sz w:val="21"/>
                <w:highlight w:val="none"/>
              </w:rPr>
            </w:pPr>
          </w:p>
        </w:tc>
        <w:tc>
          <w:tcPr>
            <w:tcW w:w="2806" w:type="dxa"/>
            <w:tcBorders>
              <w:top w:val="single" w:color="auto" w:sz="4" w:space="0"/>
              <w:left w:val="single" w:color="auto" w:sz="4" w:space="0"/>
              <w:bottom w:val="single" w:color="auto" w:sz="4" w:space="0"/>
              <w:right w:val="single" w:color="auto" w:sz="4" w:space="0"/>
            </w:tcBorders>
            <w:vAlign w:val="center"/>
          </w:tcPr>
          <w:p w14:paraId="0922428D">
            <w:pPr>
              <w:pStyle w:val="7"/>
              <w:spacing w:before="99" w:line="220" w:lineRule="auto"/>
              <w:ind w:left="0" w:leftChars="0"/>
              <w:jc w:val="center"/>
              <w:rPr>
                <w:spacing w:val="-2"/>
                <w:highlight w:val="none"/>
              </w:rPr>
            </w:pPr>
            <w:r>
              <w:rPr>
                <w:rFonts w:hint="eastAsia"/>
                <w:spacing w:val="2"/>
                <w:highlight w:val="none"/>
                <w:lang w:eastAsia="zh-CN"/>
              </w:rPr>
              <w:t>满意度</w:t>
            </w:r>
          </w:p>
        </w:tc>
        <w:tc>
          <w:tcPr>
            <w:tcW w:w="1543" w:type="dxa"/>
            <w:tcBorders>
              <w:top w:val="single" w:color="auto" w:sz="4" w:space="0"/>
              <w:left w:val="single" w:color="auto" w:sz="4" w:space="0"/>
              <w:bottom w:val="single" w:color="auto" w:sz="4" w:space="0"/>
              <w:right w:val="single" w:color="auto" w:sz="4" w:space="0"/>
            </w:tcBorders>
            <w:vAlign w:val="center"/>
          </w:tcPr>
          <w:p w14:paraId="76964ED7">
            <w:pPr>
              <w:pStyle w:val="7"/>
              <w:spacing w:before="122" w:line="221" w:lineRule="auto"/>
              <w:ind w:left="0" w:leftChars="0"/>
              <w:jc w:val="center"/>
              <w:rPr>
                <w:rFonts w:hint="eastAsia"/>
                <w:highlight w:val="none"/>
                <w:lang w:val="en-US" w:eastAsia="zh-CN"/>
              </w:rPr>
            </w:pPr>
            <w:r>
              <w:rPr>
                <w:rFonts w:hint="eastAsia"/>
                <w:spacing w:val="-4"/>
                <w:highlight w:val="none"/>
                <w:lang w:val="en-US" w:eastAsia="zh-CN"/>
              </w:rPr>
              <w:t>10</w:t>
            </w:r>
          </w:p>
        </w:tc>
      </w:tr>
    </w:tbl>
    <w:p w14:paraId="40B05084">
      <w:pPr>
        <w:spacing w:before="40"/>
        <w:rPr>
          <w:highlight w:val="none"/>
        </w:rPr>
      </w:pPr>
    </w:p>
    <w:p w14:paraId="490B4F3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i w:val="0"/>
          <w:iCs w:val="0"/>
          <w:snapToGrid/>
          <w:kern w:val="2"/>
          <w:sz w:val="32"/>
          <w:szCs w:val="32"/>
          <w:u w:val="none"/>
          <w:lang w:val="en-US" w:eastAsia="zh-CN"/>
        </w:rPr>
      </w:pPr>
      <w:r>
        <w:rPr>
          <w:rFonts w:hint="eastAsia" w:ascii="仿宋_GB2312" w:hAnsi="仿宋_GB2312" w:eastAsia="仿宋_GB2312" w:cs="仿宋_GB2312"/>
          <w:i w:val="0"/>
          <w:iCs w:val="0"/>
          <w:snapToGrid/>
          <w:kern w:val="2"/>
          <w:sz w:val="32"/>
          <w:szCs w:val="32"/>
          <w:u w:val="none"/>
          <w:lang w:val="en-US" w:eastAsia="zh-CN"/>
        </w:rPr>
        <w:t>3.评价方法</w:t>
      </w:r>
    </w:p>
    <w:p w14:paraId="4488B43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i w:val="0"/>
          <w:iCs w:val="0"/>
          <w:snapToGrid/>
          <w:kern w:val="2"/>
          <w:sz w:val="32"/>
          <w:szCs w:val="32"/>
          <w:u w:val="none"/>
          <w:lang w:val="en-US" w:eastAsia="zh-CN"/>
        </w:rPr>
      </w:pPr>
      <w:r>
        <w:rPr>
          <w:rFonts w:hint="eastAsia" w:ascii="仿宋_GB2312" w:hAnsi="仿宋_GB2312" w:eastAsia="仿宋_GB2312" w:cs="仿宋_GB2312"/>
          <w:i w:val="0"/>
          <w:iCs w:val="0"/>
          <w:snapToGrid/>
          <w:kern w:val="2"/>
          <w:sz w:val="32"/>
          <w:szCs w:val="32"/>
          <w:u w:val="none"/>
          <w:lang w:val="en-US" w:eastAsia="zh-CN"/>
        </w:rPr>
        <w:t>根据《北京市项目支出绩效评价管理办法》(京财绩效〔2020〕2146号)文件规定的绩效评价方法，结合项目实际情况，本次绩效评价工作采用公众评判法。根据评价得分 (S)分值，确定相应的评价等次。具体为优(S≥90)、良(90&gt;S≥80)、中(80&gt;S ≥60)、差 (S&lt;60)四个评价等次。</w:t>
      </w:r>
    </w:p>
    <w:p w14:paraId="49D4039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i w:val="0"/>
          <w:iCs w:val="0"/>
          <w:snapToGrid/>
          <w:kern w:val="2"/>
          <w:sz w:val="32"/>
          <w:szCs w:val="32"/>
          <w:u w:val="none"/>
          <w:lang w:val="en-US" w:eastAsia="zh-CN"/>
        </w:rPr>
      </w:pPr>
      <w:r>
        <w:rPr>
          <w:rFonts w:hint="eastAsia" w:ascii="仿宋_GB2312" w:hAnsi="仿宋_GB2312" w:eastAsia="仿宋_GB2312" w:cs="仿宋_GB2312"/>
          <w:i w:val="0"/>
          <w:iCs w:val="0"/>
          <w:snapToGrid/>
          <w:kern w:val="2"/>
          <w:sz w:val="32"/>
          <w:szCs w:val="32"/>
          <w:u w:val="none"/>
          <w:lang w:val="en-US" w:eastAsia="zh-CN"/>
        </w:rPr>
        <w:t>4.评价标准</w:t>
      </w:r>
    </w:p>
    <w:p w14:paraId="7F462A9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i w:val="0"/>
          <w:iCs w:val="0"/>
          <w:snapToGrid/>
          <w:kern w:val="2"/>
          <w:sz w:val="32"/>
          <w:szCs w:val="32"/>
          <w:u w:val="none"/>
          <w:lang w:val="en-US" w:eastAsia="zh-CN"/>
        </w:rPr>
      </w:pPr>
      <w:r>
        <w:rPr>
          <w:rFonts w:hint="eastAsia" w:ascii="仿宋_GB2312" w:hAnsi="仿宋_GB2312" w:eastAsia="仿宋_GB2312" w:cs="仿宋_GB2312"/>
          <w:i w:val="0"/>
          <w:iCs w:val="0"/>
          <w:snapToGrid/>
          <w:kern w:val="2"/>
          <w:sz w:val="32"/>
          <w:szCs w:val="32"/>
          <w:u w:val="none"/>
          <w:lang w:val="en-US" w:eastAsia="zh-CN"/>
        </w:rPr>
        <w:t>根据《北京市项目支出绩效评价管理办法》(京财绩效〔2020〕 2146号)文件规定的绩效评价标准，结合项目实际情况，本次绩效评价工作采用计划标准，以预先制定的目标、计划、预算、 定额等作为本次绩效评价的标准。</w:t>
      </w:r>
    </w:p>
    <w:p w14:paraId="2B4A108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snapToGrid/>
          <w:kern w:val="2"/>
          <w:sz w:val="32"/>
          <w:szCs w:val="32"/>
          <w:lang w:val="en-US" w:eastAsia="zh-CN"/>
        </w:rPr>
      </w:pPr>
      <w:r>
        <w:rPr>
          <w:rFonts w:hint="eastAsia" w:ascii="楷体_GB2312" w:hAnsi="楷体_GB2312" w:eastAsia="楷体_GB2312" w:cs="楷体_GB2312"/>
          <w:snapToGrid/>
          <w:kern w:val="2"/>
          <w:sz w:val="32"/>
          <w:szCs w:val="32"/>
          <w:lang w:val="en-US" w:eastAsia="zh-CN"/>
        </w:rPr>
        <w:t>(三)绩效评价工作过程。</w:t>
      </w:r>
    </w:p>
    <w:p w14:paraId="6D82007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i w:val="0"/>
          <w:iCs w:val="0"/>
          <w:snapToGrid/>
          <w:kern w:val="2"/>
          <w:sz w:val="32"/>
          <w:szCs w:val="32"/>
          <w:u w:val="none"/>
          <w:lang w:val="en-US" w:eastAsia="zh-CN"/>
        </w:rPr>
      </w:pPr>
      <w:r>
        <w:rPr>
          <w:rFonts w:hint="eastAsia" w:ascii="仿宋_GB2312" w:hAnsi="仿宋_GB2312" w:eastAsia="仿宋_GB2312" w:cs="仿宋_GB2312"/>
          <w:i w:val="0"/>
          <w:iCs w:val="0"/>
          <w:snapToGrid/>
          <w:kern w:val="2"/>
          <w:sz w:val="32"/>
          <w:szCs w:val="32"/>
          <w:u w:val="none"/>
          <w:lang w:val="en-US" w:eastAsia="zh-CN"/>
        </w:rPr>
        <w:t>为确保绩效评价工作的客观公正，评价工作组严格按照绩效 评价工作程序组织该项目的绩效评价工作。评价工作程序主要分为评价准备、评价实施、评价总结三个阶段。主要程序如下：</w:t>
      </w:r>
    </w:p>
    <w:p w14:paraId="7D522C6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i w:val="0"/>
          <w:iCs w:val="0"/>
          <w:snapToGrid/>
          <w:kern w:val="2"/>
          <w:sz w:val="32"/>
          <w:szCs w:val="32"/>
          <w:u w:val="none"/>
          <w:lang w:val="en-US" w:eastAsia="zh-CN"/>
        </w:rPr>
      </w:pPr>
      <w:r>
        <w:rPr>
          <w:rFonts w:hint="eastAsia" w:ascii="仿宋_GB2312" w:hAnsi="仿宋_GB2312" w:eastAsia="仿宋_GB2312" w:cs="仿宋_GB2312"/>
          <w:i w:val="0"/>
          <w:iCs w:val="0"/>
          <w:snapToGrid/>
          <w:kern w:val="2"/>
          <w:sz w:val="32"/>
          <w:szCs w:val="32"/>
          <w:u w:val="none"/>
          <w:lang w:val="en-US" w:eastAsia="zh-CN"/>
        </w:rPr>
        <w:t>1.评价准备阶段</w:t>
      </w:r>
    </w:p>
    <w:p w14:paraId="5182F15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i w:val="0"/>
          <w:iCs w:val="0"/>
          <w:snapToGrid/>
          <w:kern w:val="2"/>
          <w:sz w:val="32"/>
          <w:szCs w:val="32"/>
          <w:u w:val="none"/>
          <w:lang w:val="en-US" w:eastAsia="zh-CN"/>
        </w:rPr>
      </w:pPr>
      <w:r>
        <w:rPr>
          <w:rFonts w:hint="eastAsia" w:ascii="仿宋_GB2312" w:hAnsi="仿宋_GB2312" w:eastAsia="仿宋_GB2312" w:cs="仿宋_GB2312"/>
          <w:i w:val="0"/>
          <w:iCs w:val="0"/>
          <w:snapToGrid/>
          <w:kern w:val="2"/>
          <w:sz w:val="32"/>
          <w:szCs w:val="32"/>
          <w:u w:val="none"/>
          <w:lang w:val="en-US" w:eastAsia="zh-CN"/>
        </w:rPr>
        <w:t>(1)组建评价工作组。按照北京市水务局工作安排，针对确定的项目开展重点评价，组成评价工作组，明确每名成员的职 责及分工。</w:t>
      </w:r>
    </w:p>
    <w:p w14:paraId="4562B9B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i w:val="0"/>
          <w:iCs w:val="0"/>
          <w:snapToGrid/>
          <w:kern w:val="2"/>
          <w:sz w:val="32"/>
          <w:szCs w:val="32"/>
          <w:u w:val="none"/>
          <w:lang w:val="en-US" w:eastAsia="zh-CN"/>
        </w:rPr>
      </w:pPr>
      <w:r>
        <w:rPr>
          <w:rFonts w:hint="eastAsia" w:ascii="仿宋_GB2312" w:hAnsi="仿宋_GB2312" w:eastAsia="仿宋_GB2312" w:cs="仿宋_GB2312"/>
          <w:i w:val="0"/>
          <w:iCs w:val="0"/>
          <w:snapToGrid/>
          <w:kern w:val="2"/>
          <w:sz w:val="32"/>
          <w:szCs w:val="32"/>
          <w:u w:val="none"/>
          <w:lang w:val="en-US" w:eastAsia="zh-CN"/>
        </w:rPr>
        <w:t>(2)制定绩效评价工作方案。确定评价对象及范围、评价工作重点、评价方法、评价进度、具体工作组织等事项。</w:t>
      </w:r>
    </w:p>
    <w:p w14:paraId="5E20262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i w:val="0"/>
          <w:iCs w:val="0"/>
          <w:snapToGrid/>
          <w:kern w:val="2"/>
          <w:sz w:val="32"/>
          <w:szCs w:val="32"/>
          <w:u w:val="none"/>
          <w:lang w:val="en-US" w:eastAsia="zh-CN"/>
        </w:rPr>
      </w:pPr>
      <w:r>
        <w:rPr>
          <w:rFonts w:hint="eastAsia" w:ascii="仿宋_GB2312" w:hAnsi="仿宋_GB2312" w:eastAsia="仿宋_GB2312" w:cs="仿宋_GB2312"/>
          <w:i w:val="0"/>
          <w:iCs w:val="0"/>
          <w:snapToGrid/>
          <w:kern w:val="2"/>
          <w:sz w:val="32"/>
          <w:szCs w:val="32"/>
          <w:u w:val="none"/>
          <w:lang w:val="en-US" w:eastAsia="zh-CN"/>
        </w:rPr>
        <w:t>2.评价实施阶段</w:t>
      </w:r>
    </w:p>
    <w:p w14:paraId="1C2FE80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i w:val="0"/>
          <w:iCs w:val="0"/>
          <w:snapToGrid/>
          <w:kern w:val="2"/>
          <w:sz w:val="32"/>
          <w:szCs w:val="32"/>
          <w:u w:val="none"/>
          <w:lang w:val="en-US" w:eastAsia="zh-CN"/>
        </w:rPr>
      </w:pPr>
      <w:r>
        <w:rPr>
          <w:rFonts w:hint="eastAsia" w:ascii="仿宋_GB2312" w:hAnsi="仿宋_GB2312" w:eastAsia="仿宋_GB2312" w:cs="仿宋_GB2312"/>
          <w:i w:val="0"/>
          <w:iCs w:val="0"/>
          <w:snapToGrid/>
          <w:kern w:val="2"/>
          <w:sz w:val="32"/>
          <w:szCs w:val="32"/>
          <w:u w:val="none"/>
          <w:lang w:val="en-US" w:eastAsia="zh-CN"/>
        </w:rPr>
        <w:t>(1)开展入户调研。</w:t>
      </w:r>
    </w:p>
    <w:p w14:paraId="518D4C3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i w:val="0"/>
          <w:iCs w:val="0"/>
          <w:snapToGrid/>
          <w:kern w:val="2"/>
          <w:sz w:val="32"/>
          <w:szCs w:val="32"/>
          <w:u w:val="none"/>
          <w:lang w:val="en-US" w:eastAsia="zh-CN"/>
        </w:rPr>
      </w:pPr>
      <w:r>
        <w:rPr>
          <w:rFonts w:hint="eastAsia" w:ascii="仿宋_GB2312" w:hAnsi="仿宋_GB2312" w:eastAsia="仿宋_GB2312" w:cs="仿宋_GB2312"/>
          <w:i w:val="0"/>
          <w:iCs w:val="0"/>
          <w:snapToGrid/>
          <w:kern w:val="2"/>
          <w:sz w:val="32"/>
          <w:szCs w:val="32"/>
          <w:u w:val="none"/>
          <w:lang w:val="en-US" w:eastAsia="zh-CN"/>
        </w:rPr>
        <w:t>(2)收集项目绩效评价相关资料。根据绩效评价资料准备</w:t>
      </w:r>
    </w:p>
    <w:p w14:paraId="73DA906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i w:val="0"/>
          <w:iCs w:val="0"/>
          <w:snapToGrid/>
          <w:kern w:val="2"/>
          <w:sz w:val="32"/>
          <w:szCs w:val="32"/>
          <w:u w:val="none"/>
          <w:lang w:val="en-US" w:eastAsia="zh-CN"/>
        </w:rPr>
      </w:pPr>
      <w:r>
        <w:rPr>
          <w:rFonts w:hint="eastAsia" w:ascii="仿宋_GB2312" w:hAnsi="仿宋_GB2312" w:eastAsia="仿宋_GB2312" w:cs="仿宋_GB2312"/>
          <w:i w:val="0"/>
          <w:iCs w:val="0"/>
          <w:snapToGrid/>
          <w:kern w:val="2"/>
          <w:sz w:val="32"/>
          <w:szCs w:val="32"/>
          <w:u w:val="none"/>
          <w:lang w:val="en-US" w:eastAsia="zh-CN"/>
        </w:rPr>
        <w:t>清单辅导工作，明确项目实施部门需要的资料，充分沟通评价依 据、工作任务等事项，向项目实施部门讲解评价原则、程序及具 体要求。评价工作组按照“项目支出绩效评价资料准备清单”, 收集与项目支出绩效评价相关的决策、管理、绩效相关资料，复 核其完整性、准确性、有效性。</w:t>
      </w:r>
    </w:p>
    <w:p w14:paraId="5F0E97D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i w:val="0"/>
          <w:iCs w:val="0"/>
          <w:snapToGrid/>
          <w:kern w:val="2"/>
          <w:sz w:val="32"/>
          <w:szCs w:val="32"/>
          <w:u w:val="none"/>
          <w:lang w:val="en-US" w:eastAsia="zh-CN"/>
        </w:rPr>
      </w:pPr>
      <w:r>
        <w:rPr>
          <w:rFonts w:hint="eastAsia" w:ascii="仿宋_GB2312" w:hAnsi="仿宋_GB2312" w:eastAsia="仿宋_GB2312" w:cs="仿宋_GB2312"/>
          <w:i w:val="0"/>
          <w:iCs w:val="0"/>
          <w:snapToGrid/>
          <w:kern w:val="2"/>
          <w:sz w:val="32"/>
          <w:szCs w:val="32"/>
          <w:u w:val="none"/>
          <w:lang w:val="en-US" w:eastAsia="zh-CN"/>
        </w:rPr>
        <w:t>(3)召开绩效评价工作会，形成评价结论。聘请专家组，与专家组讨论确定具体项目支出绩效评价指标体系；组织召开绩效评价工作会，专家组现场依据项目单位提供的评价资料和项目 单位汇报答辩情况，对项目的决策、资金投入管理和使用、管理 制度建立与执行、实际的产出、取得的效益情况五部分进行评价和打分，出具评价意见。</w:t>
      </w:r>
    </w:p>
    <w:p w14:paraId="5A1E04C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i w:val="0"/>
          <w:iCs w:val="0"/>
          <w:snapToGrid/>
          <w:kern w:val="2"/>
          <w:sz w:val="32"/>
          <w:szCs w:val="32"/>
          <w:u w:val="none"/>
          <w:lang w:val="en-US" w:eastAsia="zh-CN"/>
        </w:rPr>
      </w:pPr>
      <w:r>
        <w:rPr>
          <w:rFonts w:hint="eastAsia" w:ascii="仿宋_GB2312" w:hAnsi="仿宋_GB2312" w:eastAsia="仿宋_GB2312" w:cs="仿宋_GB2312"/>
          <w:i w:val="0"/>
          <w:iCs w:val="0"/>
          <w:snapToGrid/>
          <w:kern w:val="2"/>
          <w:sz w:val="32"/>
          <w:szCs w:val="32"/>
          <w:u w:val="none"/>
          <w:lang w:val="en-US" w:eastAsia="zh-CN"/>
        </w:rPr>
        <w:t>(4)征求绩效评价意见。汇总整理专家意见形成项目总体评价意见，将评价意见反馈给主管部门征求其意见。</w:t>
      </w:r>
    </w:p>
    <w:p w14:paraId="37F3AC1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i w:val="0"/>
          <w:iCs w:val="0"/>
          <w:snapToGrid/>
          <w:kern w:val="2"/>
          <w:sz w:val="32"/>
          <w:szCs w:val="32"/>
          <w:u w:val="none"/>
          <w:lang w:val="en-US" w:eastAsia="zh-CN"/>
        </w:rPr>
      </w:pPr>
      <w:r>
        <w:rPr>
          <w:rFonts w:hint="eastAsia" w:ascii="仿宋_GB2312" w:hAnsi="仿宋_GB2312" w:eastAsia="仿宋_GB2312" w:cs="仿宋_GB2312"/>
          <w:i w:val="0"/>
          <w:iCs w:val="0"/>
          <w:snapToGrid/>
          <w:kern w:val="2"/>
          <w:sz w:val="32"/>
          <w:szCs w:val="32"/>
          <w:u w:val="none"/>
          <w:lang w:val="en-US" w:eastAsia="zh-CN"/>
        </w:rPr>
        <w:t>3.评价总结阶段</w:t>
      </w:r>
    </w:p>
    <w:p w14:paraId="7A38529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i w:val="0"/>
          <w:iCs w:val="0"/>
          <w:snapToGrid/>
          <w:kern w:val="2"/>
          <w:sz w:val="32"/>
          <w:szCs w:val="32"/>
          <w:u w:val="none"/>
          <w:lang w:val="en-US" w:eastAsia="zh-CN"/>
        </w:rPr>
      </w:pPr>
      <w:r>
        <w:rPr>
          <w:rFonts w:hint="eastAsia" w:ascii="仿宋_GB2312" w:hAnsi="仿宋_GB2312" w:eastAsia="仿宋_GB2312" w:cs="仿宋_GB2312"/>
          <w:i w:val="0"/>
          <w:iCs w:val="0"/>
          <w:snapToGrid/>
          <w:kern w:val="2"/>
          <w:sz w:val="32"/>
          <w:szCs w:val="32"/>
          <w:u w:val="none"/>
          <w:lang w:val="en-US" w:eastAsia="zh-CN"/>
        </w:rPr>
        <w:t>(1)撰写绩效评价报告。待绩效评价意见经主管部门审批通过后，编制绩效评价工作报告初稿提交主管部门审核，待审核通过后撰写并形成正式绩效评价报告。</w:t>
      </w:r>
    </w:p>
    <w:p w14:paraId="70D99C2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i w:val="0"/>
          <w:iCs w:val="0"/>
          <w:snapToGrid/>
          <w:kern w:val="2"/>
          <w:sz w:val="32"/>
          <w:szCs w:val="32"/>
          <w:u w:val="none"/>
          <w:lang w:val="en-US" w:eastAsia="zh-CN"/>
        </w:rPr>
      </w:pPr>
      <w:r>
        <w:rPr>
          <w:rFonts w:hint="eastAsia" w:ascii="仿宋_GB2312" w:hAnsi="仿宋_GB2312" w:eastAsia="仿宋_GB2312" w:cs="仿宋_GB2312"/>
          <w:i w:val="0"/>
          <w:iCs w:val="0"/>
          <w:snapToGrid/>
          <w:kern w:val="2"/>
          <w:sz w:val="32"/>
          <w:szCs w:val="32"/>
          <w:u w:val="none"/>
          <w:lang w:val="en-US" w:eastAsia="zh-CN"/>
        </w:rPr>
        <w:t>(2)绩效评价资料归档。绩效评价工作结束后，及时将资料整理归档提交主管部门。</w:t>
      </w:r>
    </w:p>
    <w:p w14:paraId="6BF77459">
      <w:pPr>
        <w:pStyle w:val="2"/>
        <w:keepNext w:val="0"/>
        <w:keepLines w:val="0"/>
        <w:pageBreakBefore w:val="0"/>
        <w:wordWrap/>
        <w:overflowPunct/>
        <w:topLinePunct w:val="0"/>
        <w:bidi w:val="0"/>
        <w:spacing w:before="44" w:line="560" w:lineRule="exact"/>
        <w:ind w:firstLine="671" w:firstLineChars="200"/>
        <w:outlineLvl w:val="2"/>
        <w:rPr>
          <w:rFonts w:hint="eastAsia"/>
          <w:b/>
          <w:bCs/>
          <w:spacing w:val="7"/>
          <w:sz w:val="32"/>
          <w:szCs w:val="32"/>
          <w:highlight w:val="none"/>
        </w:rPr>
      </w:pPr>
      <w:r>
        <w:rPr>
          <w:rFonts w:hint="eastAsia"/>
          <w:b/>
          <w:bCs/>
          <w:spacing w:val="7"/>
          <w:sz w:val="32"/>
          <w:szCs w:val="32"/>
          <w:highlight w:val="none"/>
        </w:rPr>
        <w:t>三、综合评价情况及评价结论</w:t>
      </w:r>
    </w:p>
    <w:p w14:paraId="1DD687D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i w:val="0"/>
          <w:iCs w:val="0"/>
          <w:snapToGrid/>
          <w:kern w:val="2"/>
          <w:sz w:val="32"/>
          <w:szCs w:val="32"/>
          <w:u w:val="none"/>
          <w:lang w:val="en-US" w:eastAsia="zh-CN"/>
        </w:rPr>
      </w:pPr>
      <w:r>
        <w:rPr>
          <w:rFonts w:hint="eastAsia" w:ascii="仿宋_GB2312" w:hAnsi="仿宋_GB2312" w:eastAsia="仿宋_GB2312" w:cs="仿宋_GB2312"/>
          <w:i w:val="0"/>
          <w:iCs w:val="0"/>
          <w:snapToGrid/>
          <w:kern w:val="2"/>
          <w:sz w:val="32"/>
          <w:szCs w:val="32"/>
          <w:u w:val="none"/>
          <w:lang w:val="en-US" w:eastAsia="zh-CN"/>
        </w:rPr>
        <w:t>经评价工作组综合分析评价，农村供水和自建设施供水行业监管项目得分83.38分，其中项目决策得分8.08分，项目过程得分18.20分，项目产出得分34.70分，项目效益得分22.40分，绩效评定级别为“良”。</w:t>
      </w:r>
    </w:p>
    <w:p w14:paraId="51210716">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center"/>
        <w:textAlignment w:val="auto"/>
        <w:rPr>
          <w:rFonts w:hint="eastAsia" w:ascii="仿宋_GB2312" w:hAnsi="仿宋_GB2312" w:eastAsia="仿宋_GB2312" w:cs="仿宋_GB2312"/>
          <w:b/>
          <w:bCs/>
          <w:i w:val="0"/>
          <w:iCs w:val="0"/>
          <w:snapToGrid/>
          <w:kern w:val="2"/>
          <w:sz w:val="28"/>
          <w:szCs w:val="28"/>
          <w:u w:val="none"/>
          <w:lang w:val="en-US" w:eastAsia="zh-CN"/>
        </w:rPr>
      </w:pPr>
      <w:r>
        <w:rPr>
          <w:rFonts w:hint="eastAsia" w:ascii="仿宋_GB2312" w:hAnsi="仿宋_GB2312" w:eastAsia="仿宋_GB2312" w:cs="仿宋_GB2312"/>
          <w:b/>
          <w:bCs/>
          <w:i w:val="0"/>
          <w:iCs w:val="0"/>
          <w:snapToGrid/>
          <w:kern w:val="2"/>
          <w:sz w:val="28"/>
          <w:szCs w:val="28"/>
          <w:u w:val="none"/>
          <w:lang w:val="en-US" w:eastAsia="zh-CN"/>
        </w:rPr>
        <w:t>项目绩效评价结论一览表</w:t>
      </w:r>
    </w:p>
    <w:p w14:paraId="36B56D6A">
      <w:pPr>
        <w:spacing w:line="71" w:lineRule="exact"/>
        <w:rPr>
          <w:highlight w:val="none"/>
        </w:rPr>
      </w:pPr>
    </w:p>
    <w:tbl>
      <w:tblPr>
        <w:tblStyle w:val="6"/>
        <w:tblW w:w="900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372"/>
        <w:gridCol w:w="3646"/>
        <w:gridCol w:w="2991"/>
      </w:tblGrid>
      <w:tr w14:paraId="73BD54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3" w:hRule="atLeast"/>
        </w:trPr>
        <w:tc>
          <w:tcPr>
            <w:tcW w:w="2372" w:type="dxa"/>
            <w:vAlign w:val="top"/>
          </w:tcPr>
          <w:p w14:paraId="29F71768">
            <w:pPr>
              <w:pStyle w:val="7"/>
              <w:spacing w:before="202" w:line="218" w:lineRule="auto"/>
              <w:ind w:left="694"/>
              <w:rPr>
                <w:highlight w:val="none"/>
              </w:rPr>
            </w:pPr>
            <w:r>
              <w:rPr>
                <w:spacing w:val="3"/>
                <w:highlight w:val="none"/>
              </w:rPr>
              <w:t>评价内容</w:t>
            </w:r>
          </w:p>
        </w:tc>
        <w:tc>
          <w:tcPr>
            <w:tcW w:w="3646" w:type="dxa"/>
            <w:vAlign w:val="top"/>
          </w:tcPr>
          <w:p w14:paraId="26747A54">
            <w:pPr>
              <w:pStyle w:val="7"/>
              <w:spacing w:before="205" w:line="219" w:lineRule="auto"/>
              <w:ind w:left="1572"/>
              <w:rPr>
                <w:highlight w:val="none"/>
              </w:rPr>
            </w:pPr>
            <w:r>
              <w:rPr>
                <w:spacing w:val="4"/>
                <w:highlight w:val="none"/>
              </w:rPr>
              <w:t>分值</w:t>
            </w:r>
          </w:p>
        </w:tc>
        <w:tc>
          <w:tcPr>
            <w:tcW w:w="2991" w:type="dxa"/>
            <w:vAlign w:val="top"/>
          </w:tcPr>
          <w:p w14:paraId="093F3C6C">
            <w:pPr>
              <w:pStyle w:val="7"/>
              <w:spacing w:before="202" w:line="218" w:lineRule="auto"/>
              <w:ind w:left="1006"/>
              <w:rPr>
                <w:highlight w:val="none"/>
              </w:rPr>
            </w:pPr>
            <w:r>
              <w:rPr>
                <w:spacing w:val="-2"/>
                <w:highlight w:val="none"/>
              </w:rPr>
              <w:t>评价得分</w:t>
            </w:r>
          </w:p>
        </w:tc>
      </w:tr>
      <w:tr w14:paraId="5200EF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9" w:hRule="atLeast"/>
        </w:trPr>
        <w:tc>
          <w:tcPr>
            <w:tcW w:w="2372" w:type="dxa"/>
            <w:vAlign w:val="top"/>
          </w:tcPr>
          <w:p w14:paraId="086F416F">
            <w:pPr>
              <w:pStyle w:val="7"/>
              <w:spacing w:before="192" w:line="219" w:lineRule="auto"/>
              <w:ind w:left="694"/>
              <w:rPr>
                <w:highlight w:val="none"/>
              </w:rPr>
            </w:pPr>
            <w:r>
              <w:rPr>
                <w:spacing w:val="2"/>
                <w:highlight w:val="none"/>
              </w:rPr>
              <w:t>项目决策</w:t>
            </w:r>
          </w:p>
        </w:tc>
        <w:tc>
          <w:tcPr>
            <w:tcW w:w="3646" w:type="dxa"/>
            <w:vAlign w:val="top"/>
          </w:tcPr>
          <w:p w14:paraId="46E03677">
            <w:pPr>
              <w:pStyle w:val="7"/>
              <w:spacing w:before="215"/>
              <w:ind w:left="1692"/>
              <w:rPr>
                <w:highlight w:val="none"/>
              </w:rPr>
            </w:pPr>
            <w:r>
              <w:rPr>
                <w:spacing w:val="-7"/>
                <w:highlight w:val="none"/>
              </w:rPr>
              <w:t>10</w:t>
            </w:r>
          </w:p>
        </w:tc>
        <w:tc>
          <w:tcPr>
            <w:tcW w:w="2991" w:type="dxa"/>
            <w:vAlign w:val="top"/>
          </w:tcPr>
          <w:p w14:paraId="65BE4D17">
            <w:pPr>
              <w:pStyle w:val="7"/>
              <w:spacing w:before="215" w:line="239" w:lineRule="auto"/>
              <w:ind w:left="1246"/>
              <w:rPr>
                <w:highlight w:val="none"/>
              </w:rPr>
            </w:pPr>
            <w:r>
              <w:rPr>
                <w:spacing w:val="-2"/>
                <w:highlight w:val="none"/>
              </w:rPr>
              <w:t>8.08</w:t>
            </w:r>
          </w:p>
        </w:tc>
      </w:tr>
      <w:tr w14:paraId="1E54A9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8" w:hRule="atLeast"/>
        </w:trPr>
        <w:tc>
          <w:tcPr>
            <w:tcW w:w="2372" w:type="dxa"/>
            <w:vAlign w:val="top"/>
          </w:tcPr>
          <w:p w14:paraId="21053771">
            <w:pPr>
              <w:pStyle w:val="7"/>
              <w:spacing w:before="203" w:line="220" w:lineRule="auto"/>
              <w:ind w:left="694"/>
              <w:rPr>
                <w:highlight w:val="none"/>
              </w:rPr>
            </w:pPr>
            <w:r>
              <w:rPr>
                <w:spacing w:val="2"/>
                <w:highlight w:val="none"/>
              </w:rPr>
              <w:t>项目过程</w:t>
            </w:r>
          </w:p>
        </w:tc>
        <w:tc>
          <w:tcPr>
            <w:tcW w:w="3646" w:type="dxa"/>
            <w:vAlign w:val="top"/>
          </w:tcPr>
          <w:p w14:paraId="2C39D882">
            <w:pPr>
              <w:pStyle w:val="7"/>
              <w:spacing w:before="226"/>
              <w:ind w:left="1692"/>
              <w:rPr>
                <w:highlight w:val="none"/>
              </w:rPr>
            </w:pPr>
            <w:r>
              <w:rPr>
                <w:spacing w:val="-4"/>
                <w:highlight w:val="none"/>
              </w:rPr>
              <w:t>20</w:t>
            </w:r>
          </w:p>
        </w:tc>
        <w:tc>
          <w:tcPr>
            <w:tcW w:w="2991" w:type="dxa"/>
            <w:vAlign w:val="top"/>
          </w:tcPr>
          <w:p w14:paraId="61102B6A">
            <w:pPr>
              <w:pStyle w:val="7"/>
              <w:spacing w:before="226" w:line="239" w:lineRule="auto"/>
              <w:ind w:left="1246"/>
              <w:rPr>
                <w:highlight w:val="none"/>
              </w:rPr>
            </w:pPr>
            <w:r>
              <w:rPr>
                <w:spacing w:val="-6"/>
                <w:highlight w:val="none"/>
              </w:rPr>
              <w:t>18.2</w:t>
            </w:r>
          </w:p>
        </w:tc>
      </w:tr>
      <w:tr w14:paraId="3B852D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2372" w:type="dxa"/>
            <w:vAlign w:val="top"/>
          </w:tcPr>
          <w:p w14:paraId="48CA6705">
            <w:pPr>
              <w:pStyle w:val="7"/>
              <w:spacing w:before="205" w:line="219" w:lineRule="auto"/>
              <w:ind w:left="694"/>
              <w:rPr>
                <w:highlight w:val="none"/>
              </w:rPr>
            </w:pPr>
            <w:r>
              <w:rPr>
                <w:spacing w:val="7"/>
                <w:highlight w:val="none"/>
              </w:rPr>
              <w:t>项目产出</w:t>
            </w:r>
          </w:p>
        </w:tc>
        <w:tc>
          <w:tcPr>
            <w:tcW w:w="3646" w:type="dxa"/>
            <w:vAlign w:val="top"/>
          </w:tcPr>
          <w:p w14:paraId="7F1CFA65">
            <w:pPr>
              <w:pStyle w:val="7"/>
              <w:spacing w:before="228"/>
              <w:ind w:left="1692"/>
              <w:rPr>
                <w:highlight w:val="none"/>
              </w:rPr>
            </w:pPr>
            <w:r>
              <w:rPr>
                <w:spacing w:val="-3"/>
                <w:highlight w:val="none"/>
              </w:rPr>
              <w:t>40</w:t>
            </w:r>
          </w:p>
        </w:tc>
        <w:tc>
          <w:tcPr>
            <w:tcW w:w="2991" w:type="dxa"/>
            <w:vAlign w:val="top"/>
          </w:tcPr>
          <w:p w14:paraId="2BEB0FF4">
            <w:pPr>
              <w:pStyle w:val="7"/>
              <w:spacing w:before="228" w:line="239" w:lineRule="auto"/>
              <w:ind w:left="1246"/>
              <w:rPr>
                <w:highlight w:val="none"/>
              </w:rPr>
            </w:pPr>
            <w:r>
              <w:rPr>
                <w:spacing w:val="-3"/>
                <w:highlight w:val="none"/>
              </w:rPr>
              <w:t>34.7</w:t>
            </w:r>
          </w:p>
        </w:tc>
      </w:tr>
      <w:tr w14:paraId="6E38A5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8" w:hRule="atLeast"/>
        </w:trPr>
        <w:tc>
          <w:tcPr>
            <w:tcW w:w="2372" w:type="dxa"/>
            <w:vAlign w:val="top"/>
          </w:tcPr>
          <w:p w14:paraId="7009C1D6">
            <w:pPr>
              <w:pStyle w:val="7"/>
              <w:spacing w:before="196" w:line="220" w:lineRule="auto"/>
              <w:ind w:left="694"/>
              <w:rPr>
                <w:highlight w:val="none"/>
              </w:rPr>
            </w:pPr>
            <w:r>
              <w:rPr>
                <w:spacing w:val="2"/>
                <w:highlight w:val="none"/>
              </w:rPr>
              <w:t>项目效益</w:t>
            </w:r>
          </w:p>
        </w:tc>
        <w:tc>
          <w:tcPr>
            <w:tcW w:w="3646" w:type="dxa"/>
            <w:vAlign w:val="top"/>
          </w:tcPr>
          <w:p w14:paraId="72B19FB1">
            <w:pPr>
              <w:pStyle w:val="7"/>
              <w:spacing w:before="219"/>
              <w:ind w:left="1692"/>
              <w:rPr>
                <w:highlight w:val="none"/>
              </w:rPr>
            </w:pPr>
            <w:r>
              <w:rPr>
                <w:spacing w:val="-4"/>
                <w:highlight w:val="none"/>
              </w:rPr>
              <w:t>30</w:t>
            </w:r>
          </w:p>
        </w:tc>
        <w:tc>
          <w:tcPr>
            <w:tcW w:w="2991" w:type="dxa"/>
            <w:vAlign w:val="top"/>
          </w:tcPr>
          <w:p w14:paraId="0420F84F">
            <w:pPr>
              <w:pStyle w:val="7"/>
              <w:spacing w:before="219" w:line="239" w:lineRule="auto"/>
              <w:ind w:left="1246"/>
              <w:rPr>
                <w:highlight w:val="none"/>
              </w:rPr>
            </w:pPr>
            <w:r>
              <w:rPr>
                <w:spacing w:val="-3"/>
                <w:highlight w:val="none"/>
              </w:rPr>
              <w:t>22.4</w:t>
            </w:r>
          </w:p>
        </w:tc>
      </w:tr>
      <w:tr w14:paraId="16497D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2372" w:type="dxa"/>
            <w:vAlign w:val="top"/>
          </w:tcPr>
          <w:p w14:paraId="3C82C3FE">
            <w:pPr>
              <w:pStyle w:val="7"/>
              <w:spacing w:before="208" w:line="219" w:lineRule="auto"/>
              <w:ind w:left="694"/>
              <w:rPr>
                <w:highlight w:val="none"/>
              </w:rPr>
            </w:pPr>
            <w:r>
              <w:rPr>
                <w:spacing w:val="2"/>
                <w:highlight w:val="none"/>
              </w:rPr>
              <w:t>综合得分</w:t>
            </w:r>
          </w:p>
        </w:tc>
        <w:tc>
          <w:tcPr>
            <w:tcW w:w="3646" w:type="dxa"/>
            <w:vAlign w:val="top"/>
          </w:tcPr>
          <w:p w14:paraId="528FBA50">
            <w:pPr>
              <w:pStyle w:val="7"/>
              <w:spacing w:before="231"/>
              <w:ind w:left="1632"/>
              <w:rPr>
                <w:highlight w:val="none"/>
              </w:rPr>
            </w:pPr>
            <w:r>
              <w:rPr>
                <w:spacing w:val="-7"/>
                <w:highlight w:val="none"/>
              </w:rPr>
              <w:t>100</w:t>
            </w:r>
          </w:p>
        </w:tc>
        <w:tc>
          <w:tcPr>
            <w:tcW w:w="2991" w:type="dxa"/>
            <w:vAlign w:val="top"/>
          </w:tcPr>
          <w:p w14:paraId="4914AD1F">
            <w:pPr>
              <w:pStyle w:val="7"/>
              <w:spacing w:before="231" w:line="239" w:lineRule="auto"/>
              <w:ind w:left="1186"/>
              <w:rPr>
                <w:highlight w:val="none"/>
              </w:rPr>
            </w:pPr>
            <w:r>
              <w:rPr>
                <w:spacing w:val="-2"/>
                <w:highlight w:val="none"/>
              </w:rPr>
              <w:t>83.38</w:t>
            </w:r>
          </w:p>
        </w:tc>
      </w:tr>
      <w:tr w14:paraId="2E77B0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2372" w:type="dxa"/>
            <w:vAlign w:val="top"/>
          </w:tcPr>
          <w:p w14:paraId="00E2A291">
            <w:pPr>
              <w:pStyle w:val="7"/>
              <w:spacing w:before="199" w:line="220" w:lineRule="auto"/>
              <w:ind w:left="454"/>
              <w:rPr>
                <w:highlight w:val="none"/>
              </w:rPr>
            </w:pPr>
            <w:r>
              <w:rPr>
                <w:spacing w:val="3"/>
                <w:highlight w:val="none"/>
              </w:rPr>
              <w:t>绩效评定级别</w:t>
            </w:r>
          </w:p>
        </w:tc>
        <w:tc>
          <w:tcPr>
            <w:tcW w:w="6637" w:type="dxa"/>
            <w:gridSpan w:val="2"/>
            <w:vAlign w:val="top"/>
          </w:tcPr>
          <w:p w14:paraId="2B36D1E3">
            <w:pPr>
              <w:pStyle w:val="7"/>
              <w:spacing w:before="202" w:line="222" w:lineRule="auto"/>
              <w:ind w:left="3223"/>
              <w:rPr>
                <w:highlight w:val="none"/>
              </w:rPr>
            </w:pPr>
            <w:r>
              <w:rPr>
                <w:highlight w:val="none"/>
              </w:rPr>
              <w:t>良</w:t>
            </w:r>
          </w:p>
        </w:tc>
      </w:tr>
    </w:tbl>
    <w:p w14:paraId="6BCF8A15">
      <w:pPr>
        <w:pStyle w:val="2"/>
        <w:keepNext w:val="0"/>
        <w:keepLines w:val="0"/>
        <w:pageBreakBefore w:val="0"/>
        <w:wordWrap/>
        <w:overflowPunct/>
        <w:topLinePunct w:val="0"/>
        <w:bidi w:val="0"/>
        <w:spacing w:before="44" w:line="560" w:lineRule="exact"/>
        <w:ind w:firstLine="671" w:firstLineChars="200"/>
        <w:outlineLvl w:val="2"/>
        <w:rPr>
          <w:rFonts w:hint="eastAsia"/>
          <w:b/>
          <w:bCs/>
          <w:spacing w:val="7"/>
          <w:sz w:val="32"/>
          <w:szCs w:val="32"/>
          <w:highlight w:val="none"/>
        </w:rPr>
      </w:pPr>
      <w:r>
        <w:rPr>
          <w:rFonts w:hint="eastAsia"/>
          <w:b/>
          <w:bCs/>
          <w:spacing w:val="7"/>
          <w:sz w:val="32"/>
          <w:szCs w:val="32"/>
          <w:highlight w:val="none"/>
        </w:rPr>
        <w:t>四、绩效评价指标分析</w:t>
      </w:r>
    </w:p>
    <w:p w14:paraId="3D270DE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snapToGrid/>
          <w:kern w:val="2"/>
          <w:sz w:val="32"/>
          <w:szCs w:val="32"/>
          <w:lang w:val="en-US" w:eastAsia="zh-CN"/>
        </w:rPr>
      </w:pPr>
      <w:r>
        <w:rPr>
          <w:rFonts w:hint="eastAsia" w:ascii="楷体_GB2312" w:hAnsi="楷体_GB2312" w:eastAsia="楷体_GB2312" w:cs="楷体_GB2312"/>
          <w:snapToGrid/>
          <w:kern w:val="2"/>
          <w:sz w:val="32"/>
          <w:szCs w:val="32"/>
          <w:lang w:val="en-US" w:eastAsia="zh-CN"/>
        </w:rPr>
        <w:t>(一)项目决策情况。</w:t>
      </w:r>
    </w:p>
    <w:p w14:paraId="0361C6E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i w:val="0"/>
          <w:iCs w:val="0"/>
          <w:snapToGrid/>
          <w:kern w:val="2"/>
          <w:sz w:val="32"/>
          <w:szCs w:val="32"/>
          <w:u w:val="none"/>
          <w:lang w:val="en-US" w:eastAsia="zh-CN"/>
        </w:rPr>
      </w:pPr>
      <w:r>
        <w:rPr>
          <w:rFonts w:hint="eastAsia" w:ascii="仿宋_GB2312" w:hAnsi="仿宋_GB2312" w:eastAsia="仿宋_GB2312" w:cs="仿宋_GB2312"/>
          <w:i w:val="0"/>
          <w:iCs w:val="0"/>
          <w:snapToGrid/>
          <w:kern w:val="2"/>
          <w:sz w:val="32"/>
          <w:szCs w:val="32"/>
          <w:u w:val="none"/>
          <w:lang w:val="en-US" w:eastAsia="zh-CN"/>
        </w:rPr>
        <w:t>1.项目立项情况评价分析</w:t>
      </w:r>
    </w:p>
    <w:p w14:paraId="34FFFE3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i w:val="0"/>
          <w:iCs w:val="0"/>
          <w:snapToGrid/>
          <w:kern w:val="2"/>
          <w:sz w:val="32"/>
          <w:szCs w:val="32"/>
          <w:u w:val="none"/>
          <w:lang w:val="en-US" w:eastAsia="zh-CN"/>
        </w:rPr>
      </w:pPr>
      <w:r>
        <w:rPr>
          <w:rFonts w:hint="eastAsia" w:ascii="仿宋_GB2312" w:hAnsi="仿宋_GB2312" w:eastAsia="仿宋_GB2312" w:cs="仿宋_GB2312"/>
          <w:i w:val="0"/>
          <w:iCs w:val="0"/>
          <w:snapToGrid/>
          <w:kern w:val="2"/>
          <w:sz w:val="32"/>
          <w:szCs w:val="32"/>
          <w:u w:val="none"/>
          <w:lang w:val="en-US" w:eastAsia="zh-CN"/>
        </w:rPr>
        <w:t>按照北京市水务局总体工作部署，根据《北京市供水管理事务中心预算管理办法》《北京市供水管理事务中心项目管理办法》《北京市供水管理事务中心预算绩效管理实施办法(试行)》, 单位组织编制了《2024 农村供水行业监管专项经费项目实施方 案》等预算申报材料，并经单位行政办公会和支委会审议，同意申报该项目。</w:t>
      </w:r>
    </w:p>
    <w:p w14:paraId="19EE508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i w:val="0"/>
          <w:iCs w:val="0"/>
          <w:snapToGrid/>
          <w:kern w:val="2"/>
          <w:sz w:val="32"/>
          <w:szCs w:val="32"/>
          <w:u w:val="none"/>
          <w:lang w:val="en-US" w:eastAsia="zh-CN"/>
        </w:rPr>
      </w:pPr>
      <w:r>
        <w:rPr>
          <w:rFonts w:hint="eastAsia" w:ascii="仿宋_GB2312" w:hAnsi="仿宋_GB2312" w:eastAsia="仿宋_GB2312" w:cs="仿宋_GB2312"/>
          <w:i w:val="0"/>
          <w:iCs w:val="0"/>
          <w:snapToGrid/>
          <w:kern w:val="2"/>
          <w:sz w:val="32"/>
          <w:szCs w:val="32"/>
          <w:u w:val="none"/>
          <w:lang w:val="en-US" w:eastAsia="zh-CN"/>
        </w:rPr>
        <w:t>该项目立项程序基本规范，但在立项的充分性、预算编制的准确性上需要进一步加强。</w:t>
      </w:r>
    </w:p>
    <w:p w14:paraId="143FC69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i w:val="0"/>
          <w:iCs w:val="0"/>
          <w:snapToGrid/>
          <w:kern w:val="2"/>
          <w:sz w:val="32"/>
          <w:szCs w:val="32"/>
          <w:u w:val="none"/>
          <w:lang w:val="en-US" w:eastAsia="zh-CN"/>
        </w:rPr>
      </w:pPr>
      <w:r>
        <w:rPr>
          <w:rFonts w:hint="eastAsia" w:ascii="仿宋_GB2312" w:hAnsi="仿宋_GB2312" w:eastAsia="仿宋_GB2312" w:cs="仿宋_GB2312"/>
          <w:i w:val="0"/>
          <w:iCs w:val="0"/>
          <w:snapToGrid/>
          <w:kern w:val="2"/>
          <w:sz w:val="32"/>
          <w:szCs w:val="32"/>
          <w:u w:val="none"/>
          <w:lang w:val="en-US" w:eastAsia="zh-CN"/>
        </w:rPr>
        <w:t>2.绩效目标评价分析</w:t>
      </w:r>
    </w:p>
    <w:p w14:paraId="457CBC2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i w:val="0"/>
          <w:iCs w:val="0"/>
          <w:snapToGrid/>
          <w:kern w:val="2"/>
          <w:sz w:val="32"/>
          <w:szCs w:val="32"/>
          <w:u w:val="none"/>
          <w:lang w:val="en-US" w:eastAsia="zh-CN"/>
        </w:rPr>
      </w:pPr>
      <w:r>
        <w:rPr>
          <w:rFonts w:hint="eastAsia" w:ascii="仿宋_GB2312" w:hAnsi="仿宋_GB2312" w:eastAsia="仿宋_GB2312" w:cs="仿宋_GB2312"/>
          <w:i w:val="0"/>
          <w:iCs w:val="0"/>
          <w:snapToGrid/>
          <w:kern w:val="2"/>
          <w:sz w:val="32"/>
          <w:szCs w:val="32"/>
          <w:u w:val="none"/>
          <w:lang w:val="en-US" w:eastAsia="zh-CN"/>
        </w:rPr>
        <w:t>该项目绩效目标设定为：</w:t>
      </w:r>
    </w:p>
    <w:p w14:paraId="624DBD9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i w:val="0"/>
          <w:iCs w:val="0"/>
          <w:snapToGrid/>
          <w:kern w:val="2"/>
          <w:sz w:val="32"/>
          <w:szCs w:val="32"/>
          <w:u w:val="none"/>
          <w:lang w:val="en-US" w:eastAsia="zh-CN"/>
        </w:rPr>
      </w:pPr>
      <w:r>
        <w:rPr>
          <w:rFonts w:hint="eastAsia" w:ascii="仿宋_GB2312" w:hAnsi="仿宋_GB2312" w:eastAsia="仿宋_GB2312" w:cs="仿宋_GB2312"/>
          <w:i w:val="0"/>
          <w:iCs w:val="0"/>
          <w:snapToGrid/>
          <w:kern w:val="2"/>
          <w:sz w:val="32"/>
          <w:szCs w:val="32"/>
          <w:u w:val="none"/>
          <w:lang w:val="en-US" w:eastAsia="zh-CN"/>
        </w:rPr>
        <w:t>(1)时效指标：完成时间≤12月；</w:t>
      </w:r>
    </w:p>
    <w:p w14:paraId="7B0D938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i w:val="0"/>
          <w:iCs w:val="0"/>
          <w:snapToGrid/>
          <w:kern w:val="2"/>
          <w:sz w:val="32"/>
          <w:szCs w:val="32"/>
          <w:u w:val="none"/>
          <w:lang w:val="en-US" w:eastAsia="zh-CN"/>
        </w:rPr>
      </w:pPr>
      <w:r>
        <w:rPr>
          <w:rFonts w:hint="eastAsia" w:ascii="仿宋_GB2312" w:hAnsi="仿宋_GB2312" w:eastAsia="仿宋_GB2312" w:cs="仿宋_GB2312"/>
          <w:i w:val="0"/>
          <w:iCs w:val="0"/>
          <w:snapToGrid/>
          <w:kern w:val="2"/>
          <w:sz w:val="32"/>
          <w:szCs w:val="32"/>
          <w:u w:val="none"/>
          <w:lang w:val="en-US" w:eastAsia="zh-CN"/>
        </w:rPr>
        <w:t>(2)数量指标：编制北京市农村供水工程标准化管理评价导则=1套；制作典型村庄供水站标准化改造图集=1套；培训数量≥1 次；供水设施检查数量≥300处 ；</w:t>
      </w:r>
    </w:p>
    <w:p w14:paraId="73BAE54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i w:val="0"/>
          <w:iCs w:val="0"/>
          <w:snapToGrid/>
          <w:kern w:val="2"/>
          <w:sz w:val="32"/>
          <w:szCs w:val="32"/>
          <w:u w:val="none"/>
          <w:lang w:val="en-US" w:eastAsia="zh-CN"/>
        </w:rPr>
      </w:pPr>
      <w:r>
        <w:rPr>
          <w:rFonts w:hint="eastAsia" w:ascii="仿宋_GB2312" w:hAnsi="仿宋_GB2312" w:eastAsia="仿宋_GB2312" w:cs="仿宋_GB2312"/>
          <w:i w:val="0"/>
          <w:iCs w:val="0"/>
          <w:snapToGrid/>
          <w:kern w:val="2"/>
          <w:sz w:val="32"/>
          <w:szCs w:val="32"/>
          <w:u w:val="none"/>
          <w:lang w:val="en-US" w:eastAsia="zh-CN"/>
        </w:rPr>
        <w:t>(3)质量指标：农村供水典型消毒设施消毒效果评估报告 专家评审通过率=100%;北京市农村供水工程标准化管理评价技术导则专家通过率=100%;</w:t>
      </w:r>
    </w:p>
    <w:p w14:paraId="0426F38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i w:val="0"/>
          <w:iCs w:val="0"/>
          <w:snapToGrid/>
          <w:kern w:val="2"/>
          <w:sz w:val="32"/>
          <w:szCs w:val="32"/>
          <w:u w:val="none"/>
          <w:lang w:val="en-US" w:eastAsia="zh-CN"/>
        </w:rPr>
      </w:pPr>
      <w:r>
        <w:rPr>
          <w:rFonts w:hint="eastAsia" w:ascii="仿宋_GB2312" w:hAnsi="仿宋_GB2312" w:eastAsia="仿宋_GB2312" w:cs="仿宋_GB2312"/>
          <w:i w:val="0"/>
          <w:iCs w:val="0"/>
          <w:snapToGrid/>
          <w:kern w:val="2"/>
          <w:sz w:val="32"/>
          <w:szCs w:val="32"/>
          <w:u w:val="none"/>
          <w:lang w:val="en-US" w:eastAsia="zh-CN"/>
        </w:rPr>
        <w:t>(4)社会效益指标：进一步规范供水设施运行，定性“优”;</w:t>
      </w:r>
    </w:p>
    <w:p w14:paraId="31B3697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i w:val="0"/>
          <w:iCs w:val="0"/>
          <w:snapToGrid/>
          <w:kern w:val="2"/>
          <w:sz w:val="32"/>
          <w:szCs w:val="32"/>
          <w:u w:val="none"/>
          <w:lang w:val="en-US" w:eastAsia="zh-CN"/>
        </w:rPr>
      </w:pPr>
      <w:r>
        <w:rPr>
          <w:rFonts w:hint="eastAsia" w:ascii="仿宋_GB2312" w:hAnsi="仿宋_GB2312" w:eastAsia="仿宋_GB2312" w:cs="仿宋_GB2312"/>
          <w:i w:val="0"/>
          <w:iCs w:val="0"/>
          <w:snapToGrid/>
          <w:kern w:val="2"/>
          <w:sz w:val="32"/>
          <w:szCs w:val="32"/>
          <w:u w:val="none"/>
          <w:lang w:val="en-US" w:eastAsia="zh-CN"/>
        </w:rPr>
        <w:t>(5)经济成本指标：预算控制在156.022万元。</w:t>
      </w:r>
    </w:p>
    <w:p w14:paraId="2C9DC37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i w:val="0"/>
          <w:iCs w:val="0"/>
          <w:snapToGrid/>
          <w:kern w:val="2"/>
          <w:sz w:val="32"/>
          <w:szCs w:val="32"/>
          <w:u w:val="none"/>
          <w:lang w:val="en-US" w:eastAsia="zh-CN"/>
        </w:rPr>
      </w:pPr>
      <w:r>
        <w:rPr>
          <w:rFonts w:hint="eastAsia" w:ascii="仿宋_GB2312" w:hAnsi="仿宋_GB2312" w:eastAsia="仿宋_GB2312" w:cs="仿宋_GB2312"/>
          <w:i w:val="0"/>
          <w:iCs w:val="0"/>
          <w:snapToGrid/>
          <w:kern w:val="2"/>
          <w:sz w:val="32"/>
          <w:szCs w:val="32"/>
          <w:u w:val="none"/>
          <w:lang w:val="en-US" w:eastAsia="zh-CN"/>
        </w:rPr>
        <w:t>该项目总体目标较为明确，具体目标设置需进一步细化清晰，便于对项目实施过程的引领。</w:t>
      </w:r>
    </w:p>
    <w:p w14:paraId="3F77219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i w:val="0"/>
          <w:iCs w:val="0"/>
          <w:snapToGrid/>
          <w:kern w:val="2"/>
          <w:sz w:val="32"/>
          <w:szCs w:val="32"/>
          <w:u w:val="none"/>
          <w:lang w:val="en-US" w:eastAsia="zh-CN"/>
        </w:rPr>
      </w:pPr>
      <w:r>
        <w:rPr>
          <w:rFonts w:hint="eastAsia" w:ascii="仿宋_GB2312" w:hAnsi="仿宋_GB2312" w:eastAsia="仿宋_GB2312" w:cs="仿宋_GB2312"/>
          <w:i w:val="0"/>
          <w:iCs w:val="0"/>
          <w:snapToGrid/>
          <w:kern w:val="2"/>
          <w:sz w:val="32"/>
          <w:szCs w:val="32"/>
          <w:u w:val="none"/>
          <w:lang w:val="en-US" w:eastAsia="zh-CN"/>
        </w:rPr>
        <w:t>3.资金投入情况评价分析</w:t>
      </w:r>
    </w:p>
    <w:p w14:paraId="7DAA7C1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i w:val="0"/>
          <w:iCs w:val="0"/>
          <w:snapToGrid/>
          <w:kern w:val="2"/>
          <w:sz w:val="32"/>
          <w:szCs w:val="32"/>
          <w:u w:val="none"/>
          <w:lang w:val="en-US" w:eastAsia="zh-CN"/>
        </w:rPr>
      </w:pPr>
      <w:r>
        <w:rPr>
          <w:rFonts w:hint="eastAsia" w:ascii="仿宋_GB2312" w:hAnsi="仿宋_GB2312" w:eastAsia="仿宋_GB2312" w:cs="仿宋_GB2312"/>
          <w:i w:val="0"/>
          <w:iCs w:val="0"/>
          <w:snapToGrid/>
          <w:kern w:val="2"/>
          <w:sz w:val="32"/>
          <w:szCs w:val="32"/>
          <w:u w:val="none"/>
          <w:lang w:val="en-US" w:eastAsia="zh-CN"/>
        </w:rPr>
        <w:t>该项目2024年预算批复共计128.3262万元。实际支出 128.3262万元。</w:t>
      </w:r>
    </w:p>
    <w:p w14:paraId="0B46CD0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i w:val="0"/>
          <w:iCs w:val="0"/>
          <w:snapToGrid/>
          <w:kern w:val="2"/>
          <w:sz w:val="32"/>
          <w:szCs w:val="32"/>
          <w:u w:val="none"/>
          <w:lang w:val="en-US" w:eastAsia="zh-CN"/>
        </w:rPr>
      </w:pPr>
      <w:r>
        <w:rPr>
          <w:rFonts w:hint="eastAsia" w:ascii="仿宋_GB2312" w:hAnsi="仿宋_GB2312" w:eastAsia="仿宋_GB2312" w:cs="仿宋_GB2312"/>
          <w:i w:val="0"/>
          <w:iCs w:val="0"/>
          <w:snapToGrid/>
          <w:kern w:val="2"/>
          <w:sz w:val="32"/>
          <w:szCs w:val="32"/>
          <w:u w:val="none"/>
          <w:lang w:val="en-US" w:eastAsia="zh-CN"/>
        </w:rPr>
        <w:t>该项目资金足额、及时到位，为该项目相关工作提供了资金</w:t>
      </w:r>
    </w:p>
    <w:p w14:paraId="31AD1C2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i w:val="0"/>
          <w:iCs w:val="0"/>
          <w:snapToGrid/>
          <w:kern w:val="2"/>
          <w:sz w:val="32"/>
          <w:szCs w:val="32"/>
          <w:u w:val="none"/>
          <w:lang w:val="en-US" w:eastAsia="zh-CN"/>
        </w:rPr>
      </w:pPr>
      <w:r>
        <w:rPr>
          <w:rFonts w:hint="eastAsia" w:ascii="仿宋_GB2312" w:hAnsi="仿宋_GB2312" w:eastAsia="仿宋_GB2312" w:cs="仿宋_GB2312"/>
          <w:i w:val="0"/>
          <w:iCs w:val="0"/>
          <w:snapToGrid/>
          <w:kern w:val="2"/>
          <w:sz w:val="32"/>
          <w:szCs w:val="32"/>
          <w:u w:val="none"/>
          <w:lang w:val="en-US" w:eastAsia="zh-CN"/>
        </w:rPr>
        <w:t>支持。考虑中期预算调整情况，应加强预算编制的准确性。</w:t>
      </w:r>
    </w:p>
    <w:p w14:paraId="00F5F05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i w:val="0"/>
          <w:iCs w:val="0"/>
          <w:snapToGrid/>
          <w:kern w:val="2"/>
          <w:sz w:val="32"/>
          <w:szCs w:val="32"/>
          <w:u w:val="none"/>
          <w:lang w:val="en-US" w:eastAsia="zh-CN"/>
        </w:rPr>
      </w:pPr>
      <w:r>
        <w:rPr>
          <w:rFonts w:hint="eastAsia" w:ascii="仿宋_GB2312" w:hAnsi="仿宋_GB2312" w:eastAsia="仿宋_GB2312" w:cs="仿宋_GB2312"/>
          <w:i w:val="0"/>
          <w:iCs w:val="0"/>
          <w:snapToGrid/>
          <w:kern w:val="2"/>
          <w:sz w:val="32"/>
          <w:szCs w:val="32"/>
          <w:u w:val="none"/>
          <w:lang w:val="en-US" w:eastAsia="zh-CN"/>
        </w:rPr>
        <w:t>(二)项目过程情况。</w:t>
      </w:r>
    </w:p>
    <w:p w14:paraId="39F48AA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i w:val="0"/>
          <w:iCs w:val="0"/>
          <w:snapToGrid/>
          <w:kern w:val="2"/>
          <w:sz w:val="32"/>
          <w:szCs w:val="32"/>
          <w:u w:val="none"/>
          <w:lang w:val="en-US" w:eastAsia="zh-CN"/>
        </w:rPr>
      </w:pPr>
      <w:r>
        <w:rPr>
          <w:rFonts w:hint="eastAsia" w:ascii="仿宋_GB2312" w:hAnsi="仿宋_GB2312" w:eastAsia="仿宋_GB2312" w:cs="仿宋_GB2312"/>
          <w:i w:val="0"/>
          <w:iCs w:val="0"/>
          <w:snapToGrid/>
          <w:kern w:val="2"/>
          <w:sz w:val="32"/>
          <w:szCs w:val="32"/>
          <w:u w:val="none"/>
          <w:lang w:val="en-US" w:eastAsia="zh-CN"/>
        </w:rPr>
        <w:t>1.资金使用及管理情况评价分析</w:t>
      </w:r>
    </w:p>
    <w:p w14:paraId="3F943BF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i w:val="0"/>
          <w:iCs w:val="0"/>
          <w:snapToGrid/>
          <w:kern w:val="2"/>
          <w:sz w:val="32"/>
          <w:szCs w:val="32"/>
          <w:u w:val="none"/>
          <w:lang w:val="en-US" w:eastAsia="zh-CN"/>
        </w:rPr>
      </w:pPr>
      <w:r>
        <w:rPr>
          <w:rFonts w:hint="eastAsia" w:ascii="仿宋_GB2312" w:hAnsi="仿宋_GB2312" w:eastAsia="仿宋_GB2312" w:cs="仿宋_GB2312"/>
          <w:i w:val="0"/>
          <w:iCs w:val="0"/>
          <w:snapToGrid/>
          <w:kern w:val="2"/>
          <w:sz w:val="32"/>
          <w:szCs w:val="32"/>
          <w:u w:val="none"/>
          <w:lang w:val="en-US" w:eastAsia="zh-CN"/>
        </w:rPr>
        <w:t>该项目严格按照《北京市供水管理事务中心预算管理办法》《北京市供水管理事务中心收支管理办法》《北京市供水管理事 务中心项目管理办法》等规定执行。北京市供水管理事务中心制度完备，管理规范。</w:t>
      </w:r>
    </w:p>
    <w:p w14:paraId="36F5D6D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i w:val="0"/>
          <w:iCs w:val="0"/>
          <w:snapToGrid/>
          <w:kern w:val="2"/>
          <w:sz w:val="32"/>
          <w:szCs w:val="32"/>
          <w:u w:val="none"/>
          <w:lang w:val="en-US" w:eastAsia="zh-CN"/>
        </w:rPr>
      </w:pPr>
      <w:r>
        <w:rPr>
          <w:rFonts w:hint="eastAsia" w:ascii="仿宋_GB2312" w:hAnsi="仿宋_GB2312" w:eastAsia="仿宋_GB2312" w:cs="仿宋_GB2312"/>
          <w:i w:val="0"/>
          <w:iCs w:val="0"/>
          <w:snapToGrid/>
          <w:kern w:val="2"/>
          <w:sz w:val="32"/>
          <w:szCs w:val="32"/>
          <w:u w:val="none"/>
          <w:lang w:val="en-US" w:eastAsia="zh-CN"/>
        </w:rPr>
        <w:t>2.项目组织实施情况评价分析</w:t>
      </w:r>
    </w:p>
    <w:p w14:paraId="667D9FC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i w:val="0"/>
          <w:iCs w:val="0"/>
          <w:snapToGrid/>
          <w:kern w:val="2"/>
          <w:sz w:val="32"/>
          <w:szCs w:val="32"/>
          <w:u w:val="none"/>
          <w:lang w:val="en-US" w:eastAsia="zh-CN"/>
        </w:rPr>
      </w:pPr>
      <w:r>
        <w:rPr>
          <w:rFonts w:hint="eastAsia" w:ascii="仿宋_GB2312" w:hAnsi="仿宋_GB2312" w:eastAsia="仿宋_GB2312" w:cs="仿宋_GB2312"/>
          <w:i w:val="0"/>
          <w:iCs w:val="0"/>
          <w:snapToGrid/>
          <w:kern w:val="2"/>
          <w:sz w:val="32"/>
          <w:szCs w:val="32"/>
          <w:u w:val="none"/>
          <w:lang w:val="en-US" w:eastAsia="zh-CN"/>
        </w:rPr>
        <w:t>该项目按照《农村供水行业监管专项经费项目实施方案》要求，各具体负责人做好项目组织实施和日常管理。在项目实施过程中，加强项目质量及安全管理。农村供水监督科定期检查项目实施质量和进度，对合同实施情况进行全过程监督，并在合同执行期间进行了多次交流讨论和技术把关，及时解决项目实施过程中遇到的问题。财务科、行政办公室、党务办公室在项目实施过程中加强监督管理，财务科负责资金使用监督，对项目的资金支付进度情况进行检查；行政办公室负责对项目的合同执行情况进行监督检查；党务办公室对项目比选、执行、验收等关键节点进行纪检监督。</w:t>
      </w:r>
    </w:p>
    <w:p w14:paraId="0EE6CD2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i w:val="0"/>
          <w:iCs w:val="0"/>
          <w:snapToGrid/>
          <w:kern w:val="2"/>
          <w:sz w:val="32"/>
          <w:szCs w:val="32"/>
          <w:u w:val="none"/>
          <w:lang w:val="en-US" w:eastAsia="zh-CN"/>
        </w:rPr>
      </w:pPr>
      <w:r>
        <w:rPr>
          <w:rFonts w:hint="eastAsia" w:ascii="仿宋_GB2312" w:hAnsi="仿宋_GB2312" w:eastAsia="仿宋_GB2312" w:cs="仿宋_GB2312"/>
          <w:i w:val="0"/>
          <w:iCs w:val="0"/>
          <w:snapToGrid/>
          <w:kern w:val="2"/>
          <w:sz w:val="32"/>
          <w:szCs w:val="32"/>
          <w:u w:val="none"/>
          <w:lang w:val="en-US" w:eastAsia="zh-CN"/>
        </w:rPr>
        <w:t>该项目的组织实施情况整体良好，但项目实施方案的有效性与可操作性还有待进一步增强，项目的验收工作有待加强。</w:t>
      </w:r>
    </w:p>
    <w:p w14:paraId="65FD6AB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snapToGrid/>
          <w:kern w:val="2"/>
          <w:sz w:val="32"/>
          <w:szCs w:val="32"/>
          <w:lang w:val="en-US" w:eastAsia="zh-CN"/>
        </w:rPr>
      </w:pPr>
      <w:r>
        <w:rPr>
          <w:rFonts w:hint="eastAsia" w:ascii="楷体_GB2312" w:hAnsi="楷体_GB2312" w:eastAsia="楷体_GB2312" w:cs="楷体_GB2312"/>
          <w:snapToGrid/>
          <w:kern w:val="2"/>
          <w:sz w:val="32"/>
          <w:szCs w:val="32"/>
          <w:lang w:val="en-US" w:eastAsia="zh-CN"/>
        </w:rPr>
        <w:t>(三)项目产出情况。</w:t>
      </w:r>
    </w:p>
    <w:p w14:paraId="0423B84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i w:val="0"/>
          <w:iCs w:val="0"/>
          <w:snapToGrid/>
          <w:kern w:val="2"/>
          <w:sz w:val="32"/>
          <w:szCs w:val="32"/>
          <w:u w:val="none"/>
          <w:lang w:val="en-US" w:eastAsia="zh-CN"/>
        </w:rPr>
      </w:pPr>
      <w:r>
        <w:rPr>
          <w:rFonts w:hint="eastAsia" w:ascii="仿宋_GB2312" w:hAnsi="仿宋_GB2312" w:eastAsia="仿宋_GB2312" w:cs="仿宋_GB2312"/>
          <w:i w:val="0"/>
          <w:iCs w:val="0"/>
          <w:snapToGrid/>
          <w:kern w:val="2"/>
          <w:sz w:val="32"/>
          <w:szCs w:val="32"/>
          <w:u w:val="none"/>
          <w:lang w:val="en-US" w:eastAsia="zh-CN"/>
        </w:rPr>
        <w:t>1.产出指标完成情况</w:t>
      </w:r>
    </w:p>
    <w:p w14:paraId="34CF076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i w:val="0"/>
          <w:iCs w:val="0"/>
          <w:snapToGrid/>
          <w:kern w:val="2"/>
          <w:sz w:val="32"/>
          <w:szCs w:val="32"/>
          <w:u w:val="none"/>
          <w:lang w:val="en-US" w:eastAsia="zh-CN"/>
        </w:rPr>
      </w:pPr>
      <w:r>
        <w:rPr>
          <w:rFonts w:hint="eastAsia" w:ascii="仿宋_GB2312" w:hAnsi="仿宋_GB2312" w:eastAsia="仿宋_GB2312" w:cs="仿宋_GB2312"/>
          <w:i w:val="0"/>
          <w:iCs w:val="0"/>
          <w:snapToGrid/>
          <w:kern w:val="2"/>
          <w:sz w:val="32"/>
          <w:szCs w:val="32"/>
          <w:u w:val="none"/>
          <w:lang w:val="en-US" w:eastAsia="zh-CN"/>
        </w:rPr>
        <w:t>该项目按合同进度要求完成北京市农村供水工程标准化管 理评价导则1套，已通过市场监管局审查；编制完成典型村庄供水 站标准化改造图集1套，已用于指导山区村庄供水站标准化改 造；组织供水高质量发展工作培训会1次，对常用标准、消毒净 化工艺、标准化管理等内容进行解读；全年完成303处农村供水设施检查，已向各区反馈检查结果；农村供水典型消毒设施消毒效果评估报告、北京市农村供水工程标准化管理评价技术导则2 个项目合同成果，已通过专家评审。</w:t>
      </w:r>
    </w:p>
    <w:p w14:paraId="6B59117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i w:val="0"/>
          <w:iCs w:val="0"/>
          <w:snapToGrid/>
          <w:kern w:val="2"/>
          <w:sz w:val="32"/>
          <w:szCs w:val="32"/>
          <w:u w:val="none"/>
          <w:lang w:val="en-US" w:eastAsia="zh-CN"/>
        </w:rPr>
      </w:pPr>
      <w:r>
        <w:rPr>
          <w:rFonts w:hint="eastAsia" w:ascii="仿宋_GB2312" w:hAnsi="仿宋_GB2312" w:eastAsia="仿宋_GB2312" w:cs="仿宋_GB2312"/>
          <w:i w:val="0"/>
          <w:iCs w:val="0"/>
          <w:snapToGrid/>
          <w:kern w:val="2"/>
          <w:sz w:val="32"/>
          <w:szCs w:val="32"/>
          <w:u w:val="none"/>
          <w:lang w:val="en-US" w:eastAsia="zh-CN"/>
        </w:rPr>
        <w:t>项目年度绩效目标全部实现，但项目成果的应用还需进一步加强。</w:t>
      </w:r>
    </w:p>
    <w:p w14:paraId="06AB452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i w:val="0"/>
          <w:iCs w:val="0"/>
          <w:snapToGrid/>
          <w:kern w:val="2"/>
          <w:sz w:val="32"/>
          <w:szCs w:val="32"/>
          <w:u w:val="none"/>
          <w:lang w:val="en-US" w:eastAsia="zh-CN"/>
        </w:rPr>
      </w:pPr>
      <w:r>
        <w:rPr>
          <w:rFonts w:hint="eastAsia" w:ascii="仿宋_GB2312" w:hAnsi="仿宋_GB2312" w:eastAsia="仿宋_GB2312" w:cs="仿宋_GB2312"/>
          <w:i w:val="0"/>
          <w:iCs w:val="0"/>
          <w:snapToGrid/>
          <w:kern w:val="2"/>
          <w:sz w:val="32"/>
          <w:szCs w:val="32"/>
          <w:u w:val="none"/>
          <w:lang w:val="en-US" w:eastAsia="zh-CN"/>
        </w:rPr>
        <w:t>2.项目经济性分析</w:t>
      </w:r>
    </w:p>
    <w:p w14:paraId="6F12331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i w:val="0"/>
          <w:iCs w:val="0"/>
          <w:snapToGrid/>
          <w:kern w:val="2"/>
          <w:sz w:val="32"/>
          <w:szCs w:val="32"/>
          <w:u w:val="none"/>
          <w:lang w:val="en-US" w:eastAsia="zh-CN"/>
        </w:rPr>
      </w:pPr>
      <w:r>
        <w:rPr>
          <w:rFonts w:hint="eastAsia" w:ascii="仿宋_GB2312" w:hAnsi="仿宋_GB2312" w:eastAsia="仿宋_GB2312" w:cs="仿宋_GB2312"/>
          <w:i w:val="0"/>
          <w:iCs w:val="0"/>
          <w:snapToGrid/>
          <w:kern w:val="2"/>
          <w:sz w:val="32"/>
          <w:szCs w:val="32"/>
          <w:u w:val="none"/>
          <w:lang w:val="en-US" w:eastAsia="zh-CN"/>
        </w:rPr>
        <w:t>该项目2024年预算批复共计128.3262万元。实际支出 128.3262万元。</w:t>
      </w:r>
    </w:p>
    <w:p w14:paraId="7F9F1B9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i w:val="0"/>
          <w:iCs w:val="0"/>
          <w:snapToGrid/>
          <w:kern w:val="2"/>
          <w:sz w:val="32"/>
          <w:szCs w:val="32"/>
          <w:u w:val="none"/>
          <w:lang w:val="en-US" w:eastAsia="zh-CN"/>
        </w:rPr>
      </w:pPr>
      <w:r>
        <w:rPr>
          <w:rFonts w:hint="eastAsia" w:ascii="仿宋_GB2312" w:hAnsi="仿宋_GB2312" w:eastAsia="仿宋_GB2312" w:cs="仿宋_GB2312"/>
          <w:i w:val="0"/>
          <w:iCs w:val="0"/>
          <w:snapToGrid/>
          <w:kern w:val="2"/>
          <w:sz w:val="32"/>
          <w:szCs w:val="32"/>
          <w:u w:val="none"/>
          <w:lang w:val="en-US" w:eastAsia="zh-CN"/>
        </w:rPr>
        <w:t>该项目作为延续性项目，成本控制明确。</w:t>
      </w:r>
    </w:p>
    <w:p w14:paraId="320F9E5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i w:val="0"/>
          <w:iCs w:val="0"/>
          <w:snapToGrid/>
          <w:kern w:val="2"/>
          <w:sz w:val="32"/>
          <w:szCs w:val="32"/>
          <w:u w:val="none"/>
          <w:lang w:val="en-US" w:eastAsia="zh-CN"/>
        </w:rPr>
      </w:pPr>
      <w:r>
        <w:rPr>
          <w:rFonts w:hint="eastAsia" w:ascii="仿宋_GB2312" w:hAnsi="仿宋_GB2312" w:eastAsia="仿宋_GB2312" w:cs="仿宋_GB2312"/>
          <w:i w:val="0"/>
          <w:iCs w:val="0"/>
          <w:snapToGrid/>
          <w:kern w:val="2"/>
          <w:sz w:val="32"/>
          <w:szCs w:val="32"/>
          <w:u w:val="none"/>
          <w:lang w:val="en-US" w:eastAsia="zh-CN"/>
        </w:rPr>
        <w:t>3.项目效率性分析</w:t>
      </w:r>
    </w:p>
    <w:p w14:paraId="2138AE8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Arial"/>
          <w:sz w:val="21"/>
          <w:highlight w:val="none"/>
        </w:rPr>
      </w:pPr>
      <w:r>
        <w:rPr>
          <w:rFonts w:hint="eastAsia" w:ascii="仿宋_GB2312" w:hAnsi="仿宋_GB2312" w:eastAsia="仿宋_GB2312" w:cs="仿宋_GB2312"/>
          <w:i w:val="0"/>
          <w:iCs w:val="0"/>
          <w:snapToGrid/>
          <w:kern w:val="2"/>
          <w:sz w:val="32"/>
          <w:szCs w:val="32"/>
          <w:u w:val="none"/>
          <w:lang w:val="en-US" w:eastAsia="zh-CN"/>
        </w:rPr>
        <w:t>该项目前期准备工作比较充分，筹划安排得当，各方协调紧 密，当年任务当年完成，项目效率性良好。</w:t>
      </w:r>
    </w:p>
    <w:p w14:paraId="47A2E4B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snapToGrid/>
          <w:kern w:val="2"/>
          <w:sz w:val="32"/>
          <w:szCs w:val="32"/>
          <w:lang w:val="en-US" w:eastAsia="zh-CN"/>
        </w:rPr>
      </w:pPr>
      <w:r>
        <w:rPr>
          <w:rFonts w:hint="eastAsia" w:ascii="楷体_GB2312" w:hAnsi="楷体_GB2312" w:eastAsia="楷体_GB2312" w:cs="楷体_GB2312"/>
          <w:snapToGrid/>
          <w:kern w:val="2"/>
          <w:sz w:val="32"/>
          <w:szCs w:val="32"/>
          <w:lang w:val="en-US" w:eastAsia="zh-CN"/>
        </w:rPr>
        <w:t>(四)项目效益情况。</w:t>
      </w:r>
    </w:p>
    <w:p w14:paraId="14AC3BE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i w:val="0"/>
          <w:iCs w:val="0"/>
          <w:snapToGrid/>
          <w:kern w:val="2"/>
          <w:sz w:val="32"/>
          <w:szCs w:val="32"/>
          <w:u w:val="none"/>
          <w:lang w:val="en-US" w:eastAsia="zh-CN"/>
        </w:rPr>
      </w:pPr>
      <w:r>
        <w:rPr>
          <w:rFonts w:hint="eastAsia" w:ascii="仿宋_GB2312" w:hAnsi="仿宋_GB2312" w:eastAsia="仿宋_GB2312" w:cs="仿宋_GB2312"/>
          <w:i w:val="0"/>
          <w:iCs w:val="0"/>
          <w:snapToGrid/>
          <w:kern w:val="2"/>
          <w:sz w:val="32"/>
          <w:szCs w:val="32"/>
          <w:u w:val="none"/>
          <w:lang w:val="en-US" w:eastAsia="zh-CN"/>
        </w:rPr>
        <w:t>1.社会效益和可持续影响分析</w:t>
      </w:r>
    </w:p>
    <w:p w14:paraId="0DF9FAA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i w:val="0"/>
          <w:iCs w:val="0"/>
          <w:snapToGrid/>
          <w:kern w:val="2"/>
          <w:sz w:val="32"/>
          <w:szCs w:val="32"/>
          <w:u w:val="none"/>
          <w:lang w:val="en-US" w:eastAsia="zh-CN"/>
        </w:rPr>
      </w:pPr>
      <w:r>
        <w:rPr>
          <w:rFonts w:hint="eastAsia" w:ascii="仿宋_GB2312" w:hAnsi="仿宋_GB2312" w:eastAsia="仿宋_GB2312" w:cs="仿宋_GB2312"/>
          <w:i w:val="0"/>
          <w:iCs w:val="0"/>
          <w:snapToGrid/>
          <w:kern w:val="2"/>
          <w:sz w:val="32"/>
          <w:szCs w:val="32"/>
          <w:u w:val="none"/>
          <w:lang w:val="en-US" w:eastAsia="zh-CN"/>
        </w:rPr>
        <w:t>该项目实施具有良好的社会效益，一是通过对农村供水设施运行管理情况的检查，提升了农村供水设施的运行效率和管理水平。二是通过制作村庄供水站标准化改造建筑典型图集、编制农村供水工程标准化管理评价技术导则，为北京市村庄供水站标准化改造与管理提供技术支撑和参考标准，提升了供水站建设标准和管理水平，进一步增强农村供水保障能力。三是通过评估典型消毒设施消毒效果，为各区水务局和供水管理单位消毒设备选型提供技术支撑，确保农村饮用水水质达到国家卫生标准，保障农村居民的饮水安全。四是项目成果对推进山区村庄供水站标准化改造、农村供水工程标准化管理提供了技术支撑，对“十五五” 农村供水规划及农村供水高质量发展都具有重要指导意义。</w:t>
      </w:r>
    </w:p>
    <w:p w14:paraId="7649575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i w:val="0"/>
          <w:iCs w:val="0"/>
          <w:snapToGrid/>
          <w:kern w:val="2"/>
          <w:sz w:val="32"/>
          <w:szCs w:val="32"/>
          <w:u w:val="none"/>
          <w:lang w:val="en-US" w:eastAsia="zh-CN"/>
        </w:rPr>
      </w:pPr>
      <w:r>
        <w:rPr>
          <w:rFonts w:hint="eastAsia" w:ascii="仿宋_GB2312" w:hAnsi="仿宋_GB2312" w:eastAsia="仿宋_GB2312" w:cs="仿宋_GB2312"/>
          <w:i w:val="0"/>
          <w:iCs w:val="0"/>
          <w:snapToGrid/>
          <w:kern w:val="2"/>
          <w:sz w:val="32"/>
          <w:szCs w:val="32"/>
          <w:u w:val="none"/>
          <w:lang w:val="en-US" w:eastAsia="zh-CN"/>
        </w:rPr>
        <w:t>该项目实施具有良好的社会效益，但还需进一步加强统计分析和结果应用，为效果呈现提供支持。</w:t>
      </w:r>
    </w:p>
    <w:p w14:paraId="68E5F12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i w:val="0"/>
          <w:iCs w:val="0"/>
          <w:snapToGrid/>
          <w:kern w:val="2"/>
          <w:sz w:val="32"/>
          <w:szCs w:val="32"/>
          <w:u w:val="none"/>
          <w:lang w:val="en-US" w:eastAsia="zh-CN"/>
        </w:rPr>
      </w:pPr>
      <w:r>
        <w:rPr>
          <w:rFonts w:hint="eastAsia" w:ascii="仿宋_GB2312" w:hAnsi="仿宋_GB2312" w:eastAsia="仿宋_GB2312" w:cs="仿宋_GB2312"/>
          <w:i w:val="0"/>
          <w:iCs w:val="0"/>
          <w:snapToGrid/>
          <w:kern w:val="2"/>
          <w:sz w:val="32"/>
          <w:szCs w:val="32"/>
          <w:u w:val="none"/>
          <w:lang w:val="en-US" w:eastAsia="zh-CN"/>
        </w:rPr>
        <w:t>服务对象满意度分析</w:t>
      </w:r>
    </w:p>
    <w:p w14:paraId="157FF0A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i w:val="0"/>
          <w:iCs w:val="0"/>
          <w:snapToGrid/>
          <w:kern w:val="2"/>
          <w:sz w:val="32"/>
          <w:szCs w:val="32"/>
          <w:u w:val="none"/>
          <w:lang w:val="en-US" w:eastAsia="zh-CN"/>
        </w:rPr>
      </w:pPr>
      <w:r>
        <w:rPr>
          <w:rFonts w:hint="eastAsia" w:ascii="仿宋_GB2312" w:hAnsi="仿宋_GB2312" w:eastAsia="仿宋_GB2312" w:cs="仿宋_GB2312"/>
          <w:i w:val="0"/>
          <w:iCs w:val="0"/>
          <w:snapToGrid/>
          <w:kern w:val="2"/>
          <w:sz w:val="32"/>
          <w:szCs w:val="32"/>
          <w:u w:val="none"/>
          <w:lang w:val="en-US" w:eastAsia="zh-CN"/>
        </w:rPr>
        <w:t>该项目满意度调研选择了6个区，每个区4份问卷进行调研。</w:t>
      </w:r>
    </w:p>
    <w:p w14:paraId="619337B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i w:val="0"/>
          <w:iCs w:val="0"/>
          <w:snapToGrid/>
          <w:kern w:val="2"/>
          <w:sz w:val="32"/>
          <w:szCs w:val="32"/>
          <w:u w:val="none"/>
          <w:lang w:val="en-US" w:eastAsia="zh-CN"/>
        </w:rPr>
      </w:pPr>
      <w:r>
        <w:rPr>
          <w:rFonts w:hint="eastAsia" w:ascii="仿宋_GB2312" w:hAnsi="仿宋_GB2312" w:eastAsia="仿宋_GB2312" w:cs="仿宋_GB2312"/>
          <w:i w:val="0"/>
          <w:iCs w:val="0"/>
          <w:snapToGrid/>
          <w:kern w:val="2"/>
          <w:sz w:val="32"/>
          <w:szCs w:val="32"/>
          <w:u w:val="none"/>
          <w:lang w:val="en-US" w:eastAsia="zh-CN"/>
        </w:rPr>
        <w:t>该项目虽开展服务对象满意度调查工作，但还存在着调查问卷设计较简单，部分调查内容不适用的情况。</w:t>
      </w:r>
    </w:p>
    <w:p w14:paraId="7D624484">
      <w:pPr>
        <w:pStyle w:val="2"/>
        <w:keepNext w:val="0"/>
        <w:keepLines w:val="0"/>
        <w:pageBreakBefore w:val="0"/>
        <w:wordWrap/>
        <w:overflowPunct/>
        <w:topLinePunct w:val="0"/>
        <w:bidi w:val="0"/>
        <w:spacing w:before="44" w:line="560" w:lineRule="exact"/>
        <w:ind w:firstLine="671" w:firstLineChars="200"/>
        <w:outlineLvl w:val="2"/>
        <w:rPr>
          <w:rFonts w:hint="eastAsia"/>
          <w:b/>
          <w:bCs/>
          <w:spacing w:val="7"/>
          <w:sz w:val="32"/>
          <w:szCs w:val="32"/>
          <w:highlight w:val="none"/>
        </w:rPr>
      </w:pPr>
      <w:r>
        <w:rPr>
          <w:rFonts w:hint="eastAsia"/>
          <w:b/>
          <w:bCs/>
          <w:spacing w:val="7"/>
          <w:sz w:val="32"/>
          <w:szCs w:val="32"/>
          <w:highlight w:val="none"/>
        </w:rPr>
        <w:t>五、主要存在的问题</w:t>
      </w:r>
    </w:p>
    <w:p w14:paraId="16240D8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snapToGrid/>
          <w:kern w:val="2"/>
          <w:sz w:val="32"/>
          <w:szCs w:val="32"/>
          <w:lang w:val="en-US" w:eastAsia="zh-CN"/>
        </w:rPr>
      </w:pPr>
      <w:r>
        <w:rPr>
          <w:rFonts w:hint="eastAsia" w:ascii="楷体_GB2312" w:hAnsi="楷体_GB2312" w:eastAsia="楷体_GB2312" w:cs="楷体_GB2312"/>
          <w:snapToGrid/>
          <w:kern w:val="2"/>
          <w:sz w:val="32"/>
          <w:szCs w:val="32"/>
          <w:lang w:val="en-US" w:eastAsia="zh-CN"/>
        </w:rPr>
        <w:t>(一)项目决策问题</w:t>
      </w:r>
    </w:p>
    <w:p w14:paraId="06BBC51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i w:val="0"/>
          <w:iCs w:val="0"/>
          <w:snapToGrid/>
          <w:kern w:val="2"/>
          <w:sz w:val="32"/>
          <w:szCs w:val="32"/>
          <w:u w:val="none"/>
          <w:lang w:val="en-US" w:eastAsia="zh-CN"/>
        </w:rPr>
      </w:pPr>
      <w:r>
        <w:rPr>
          <w:rFonts w:hint="eastAsia" w:ascii="仿宋_GB2312" w:hAnsi="仿宋_GB2312" w:eastAsia="仿宋_GB2312" w:cs="仿宋_GB2312"/>
          <w:i w:val="0"/>
          <w:iCs w:val="0"/>
          <w:snapToGrid/>
          <w:kern w:val="2"/>
          <w:sz w:val="32"/>
          <w:szCs w:val="32"/>
          <w:u w:val="none"/>
          <w:lang w:val="en-US" w:eastAsia="zh-CN"/>
        </w:rPr>
        <w:t>1.项目前期调查资料不充分，如：缺少检查点位抽查的原则。</w:t>
      </w:r>
    </w:p>
    <w:p w14:paraId="021429B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i w:val="0"/>
          <w:iCs w:val="0"/>
          <w:snapToGrid/>
          <w:kern w:val="2"/>
          <w:sz w:val="32"/>
          <w:szCs w:val="32"/>
          <w:u w:val="none"/>
          <w:lang w:val="en-US" w:eastAsia="zh-CN"/>
        </w:rPr>
      </w:pPr>
      <w:r>
        <w:rPr>
          <w:rFonts w:hint="eastAsia" w:ascii="仿宋_GB2312" w:hAnsi="仿宋_GB2312" w:eastAsia="仿宋_GB2312" w:cs="仿宋_GB2312"/>
          <w:i w:val="0"/>
          <w:iCs w:val="0"/>
          <w:snapToGrid/>
          <w:kern w:val="2"/>
          <w:sz w:val="32"/>
          <w:szCs w:val="32"/>
          <w:u w:val="none"/>
          <w:lang w:val="en-US" w:eastAsia="zh-CN"/>
        </w:rPr>
        <w:t>2.个别绩效指标设置不完全或不清晰，如：数量指标设置未针对农村供水典型消毒设施消毒效果评估进行设置、专家评审次数等。</w:t>
      </w:r>
    </w:p>
    <w:p w14:paraId="53CF29B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i w:val="0"/>
          <w:iCs w:val="0"/>
          <w:snapToGrid/>
          <w:kern w:val="2"/>
          <w:sz w:val="32"/>
          <w:szCs w:val="32"/>
          <w:u w:val="none"/>
          <w:lang w:val="en-US" w:eastAsia="zh-CN"/>
        </w:rPr>
      </w:pPr>
      <w:r>
        <w:rPr>
          <w:rFonts w:hint="eastAsia" w:ascii="仿宋_GB2312" w:hAnsi="仿宋_GB2312" w:eastAsia="仿宋_GB2312" w:cs="仿宋_GB2312"/>
          <w:i w:val="0"/>
          <w:iCs w:val="0"/>
          <w:snapToGrid/>
          <w:kern w:val="2"/>
          <w:sz w:val="32"/>
          <w:szCs w:val="32"/>
          <w:u w:val="none"/>
          <w:lang w:val="en-US" w:eastAsia="zh-CN"/>
        </w:rPr>
        <w:t>3.预算编制的准确性存在不足。</w:t>
      </w:r>
    </w:p>
    <w:p w14:paraId="4EB30C3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snapToGrid/>
          <w:kern w:val="2"/>
          <w:sz w:val="32"/>
          <w:szCs w:val="32"/>
          <w:lang w:val="en-US" w:eastAsia="zh-CN"/>
        </w:rPr>
      </w:pPr>
      <w:r>
        <w:rPr>
          <w:rFonts w:hint="eastAsia" w:ascii="楷体_GB2312" w:hAnsi="楷体_GB2312" w:eastAsia="楷体_GB2312" w:cs="楷体_GB2312"/>
          <w:snapToGrid/>
          <w:kern w:val="2"/>
          <w:sz w:val="32"/>
          <w:szCs w:val="32"/>
          <w:lang w:val="en-US" w:eastAsia="zh-CN"/>
        </w:rPr>
        <w:t>(二)项目过程管理问题</w:t>
      </w:r>
    </w:p>
    <w:p w14:paraId="0C96138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i w:val="0"/>
          <w:iCs w:val="0"/>
          <w:snapToGrid/>
          <w:kern w:val="2"/>
          <w:sz w:val="32"/>
          <w:szCs w:val="32"/>
          <w:u w:val="none"/>
          <w:lang w:val="en-US" w:eastAsia="zh-CN"/>
        </w:rPr>
      </w:pPr>
      <w:r>
        <w:rPr>
          <w:rFonts w:hint="eastAsia" w:ascii="仿宋_GB2312" w:hAnsi="仿宋_GB2312" w:eastAsia="仿宋_GB2312" w:cs="仿宋_GB2312"/>
          <w:i w:val="0"/>
          <w:iCs w:val="0"/>
          <w:snapToGrid/>
          <w:kern w:val="2"/>
          <w:sz w:val="32"/>
          <w:szCs w:val="32"/>
          <w:u w:val="none"/>
          <w:lang w:val="en-US" w:eastAsia="zh-CN"/>
        </w:rPr>
        <w:t>项目实施方案部分内容不完善。所建立的项目实施方案偏重于技术方案，未建立供水中心层面的组织机构及其职责分工。此外，实施方案缺少采购方案、验收方案、成本控制措施、资金使用进度安排、对供应商的过程监督措施、预期风险应对措施等。</w:t>
      </w:r>
    </w:p>
    <w:p w14:paraId="3B8E16D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snapToGrid/>
          <w:kern w:val="2"/>
          <w:sz w:val="32"/>
          <w:szCs w:val="32"/>
          <w:lang w:val="en-US" w:eastAsia="zh-CN"/>
        </w:rPr>
      </w:pPr>
      <w:r>
        <w:rPr>
          <w:rFonts w:hint="eastAsia" w:ascii="楷体_GB2312" w:hAnsi="楷体_GB2312" w:eastAsia="楷体_GB2312" w:cs="楷体_GB2312"/>
          <w:snapToGrid/>
          <w:kern w:val="2"/>
          <w:sz w:val="32"/>
          <w:szCs w:val="32"/>
          <w:lang w:val="en-US" w:eastAsia="zh-CN"/>
        </w:rPr>
        <w:t>(三)项目产出问题</w:t>
      </w:r>
    </w:p>
    <w:p w14:paraId="6ABECE1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i w:val="0"/>
          <w:iCs w:val="0"/>
          <w:snapToGrid/>
          <w:kern w:val="2"/>
          <w:sz w:val="32"/>
          <w:szCs w:val="32"/>
          <w:u w:val="none"/>
          <w:lang w:val="en-US" w:eastAsia="zh-CN"/>
        </w:rPr>
      </w:pPr>
      <w:r>
        <w:rPr>
          <w:rFonts w:hint="eastAsia" w:ascii="仿宋_GB2312" w:hAnsi="仿宋_GB2312" w:eastAsia="仿宋_GB2312" w:cs="仿宋_GB2312"/>
          <w:i w:val="0"/>
          <w:iCs w:val="0"/>
          <w:snapToGrid/>
          <w:kern w:val="2"/>
          <w:sz w:val="32"/>
          <w:szCs w:val="32"/>
          <w:u w:val="none"/>
          <w:lang w:val="en-US" w:eastAsia="zh-CN"/>
        </w:rPr>
        <w:t>1.北京市农村供水工程标准化管理评价导则已报市场监管局审查，审查结果尚未出台。</w:t>
      </w:r>
    </w:p>
    <w:p w14:paraId="7ABB957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i w:val="0"/>
          <w:iCs w:val="0"/>
          <w:snapToGrid/>
          <w:kern w:val="2"/>
          <w:sz w:val="32"/>
          <w:szCs w:val="32"/>
          <w:u w:val="none"/>
          <w:lang w:val="en-US" w:eastAsia="zh-CN"/>
        </w:rPr>
      </w:pPr>
      <w:r>
        <w:rPr>
          <w:rFonts w:hint="eastAsia" w:ascii="仿宋_GB2312" w:hAnsi="仿宋_GB2312" w:eastAsia="仿宋_GB2312" w:cs="仿宋_GB2312"/>
          <w:i w:val="0"/>
          <w:iCs w:val="0"/>
          <w:snapToGrid/>
          <w:kern w:val="2"/>
          <w:sz w:val="32"/>
          <w:szCs w:val="32"/>
          <w:u w:val="none"/>
          <w:lang w:val="en-US" w:eastAsia="zh-CN"/>
        </w:rPr>
        <w:t>2.典型村庄供水站标准化改造图集，缺少指导图集使用的时效。</w:t>
      </w:r>
    </w:p>
    <w:p w14:paraId="02317DD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snapToGrid/>
          <w:kern w:val="2"/>
          <w:sz w:val="32"/>
          <w:szCs w:val="32"/>
          <w:lang w:val="en-US" w:eastAsia="zh-CN"/>
        </w:rPr>
      </w:pPr>
      <w:r>
        <w:rPr>
          <w:rFonts w:hint="eastAsia" w:ascii="楷体_GB2312" w:hAnsi="楷体_GB2312" w:eastAsia="楷体_GB2312" w:cs="楷体_GB2312"/>
          <w:snapToGrid/>
          <w:kern w:val="2"/>
          <w:sz w:val="32"/>
          <w:szCs w:val="32"/>
          <w:lang w:val="en-US" w:eastAsia="zh-CN"/>
        </w:rPr>
        <w:t>(四)项目效益问题</w:t>
      </w:r>
    </w:p>
    <w:p w14:paraId="435C926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i w:val="0"/>
          <w:iCs w:val="0"/>
          <w:snapToGrid/>
          <w:kern w:val="2"/>
          <w:sz w:val="32"/>
          <w:szCs w:val="32"/>
          <w:u w:val="none"/>
          <w:lang w:val="en-US" w:eastAsia="zh-CN"/>
        </w:rPr>
      </w:pPr>
      <w:r>
        <w:rPr>
          <w:rFonts w:hint="eastAsia" w:ascii="仿宋_GB2312" w:hAnsi="仿宋_GB2312" w:eastAsia="仿宋_GB2312" w:cs="仿宋_GB2312"/>
          <w:i w:val="0"/>
          <w:iCs w:val="0"/>
          <w:snapToGrid/>
          <w:kern w:val="2"/>
          <w:sz w:val="32"/>
          <w:szCs w:val="32"/>
          <w:u w:val="none"/>
          <w:lang w:val="en-US" w:eastAsia="zh-CN"/>
        </w:rPr>
        <w:t>1.北京市农村供水设施运行整体整改率不清晰，只有部分已整改资料。</w:t>
      </w:r>
    </w:p>
    <w:p w14:paraId="00D918E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i w:val="0"/>
          <w:iCs w:val="0"/>
          <w:snapToGrid/>
          <w:kern w:val="2"/>
          <w:sz w:val="32"/>
          <w:szCs w:val="32"/>
          <w:u w:val="none"/>
          <w:lang w:val="en-US" w:eastAsia="zh-CN"/>
        </w:rPr>
      </w:pPr>
      <w:r>
        <w:rPr>
          <w:rFonts w:hint="eastAsia" w:ascii="仿宋_GB2312" w:hAnsi="仿宋_GB2312" w:eastAsia="仿宋_GB2312" w:cs="仿宋_GB2312"/>
          <w:i w:val="0"/>
          <w:iCs w:val="0"/>
          <w:snapToGrid/>
          <w:kern w:val="2"/>
          <w:sz w:val="32"/>
          <w:szCs w:val="32"/>
          <w:u w:val="none"/>
          <w:lang w:val="en-US" w:eastAsia="zh-CN"/>
        </w:rPr>
        <w:t>2.绩效报告效益分析量化不足。除消毒药剂投加、取水口设置、管理制度、安全警示标识等检查指标合格率有对比数据外，无其他项目内容与以前年度实施情况或实施前情况进行对比分析的资料。</w:t>
      </w:r>
    </w:p>
    <w:p w14:paraId="2D493E2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i w:val="0"/>
          <w:iCs w:val="0"/>
          <w:snapToGrid/>
          <w:kern w:val="2"/>
          <w:sz w:val="32"/>
          <w:szCs w:val="32"/>
          <w:u w:val="none"/>
          <w:lang w:val="en-US" w:eastAsia="zh-CN"/>
        </w:rPr>
      </w:pPr>
      <w:r>
        <w:rPr>
          <w:rFonts w:hint="eastAsia" w:ascii="仿宋_GB2312" w:hAnsi="仿宋_GB2312" w:eastAsia="仿宋_GB2312" w:cs="仿宋_GB2312"/>
          <w:i w:val="0"/>
          <w:iCs w:val="0"/>
          <w:snapToGrid/>
          <w:kern w:val="2"/>
          <w:sz w:val="32"/>
          <w:szCs w:val="32"/>
          <w:u w:val="none"/>
          <w:lang w:val="en-US" w:eastAsia="zh-CN"/>
        </w:rPr>
        <w:t>3.满意度调查问卷设计较简单，部分调查内容不适用，未撰写调查结果报告。</w:t>
      </w:r>
    </w:p>
    <w:p w14:paraId="3766097E">
      <w:pPr>
        <w:pStyle w:val="2"/>
        <w:keepNext w:val="0"/>
        <w:keepLines w:val="0"/>
        <w:pageBreakBefore w:val="0"/>
        <w:wordWrap/>
        <w:overflowPunct/>
        <w:topLinePunct w:val="0"/>
        <w:bidi w:val="0"/>
        <w:spacing w:before="44" w:line="560" w:lineRule="exact"/>
        <w:ind w:firstLine="671" w:firstLineChars="200"/>
        <w:outlineLvl w:val="2"/>
        <w:rPr>
          <w:rFonts w:hint="eastAsia"/>
          <w:b/>
          <w:bCs/>
          <w:spacing w:val="7"/>
          <w:sz w:val="32"/>
          <w:szCs w:val="32"/>
          <w:highlight w:val="none"/>
        </w:rPr>
      </w:pPr>
      <w:r>
        <w:rPr>
          <w:rFonts w:hint="eastAsia"/>
          <w:b/>
          <w:bCs/>
          <w:spacing w:val="7"/>
          <w:sz w:val="32"/>
          <w:szCs w:val="32"/>
          <w:highlight w:val="none"/>
        </w:rPr>
        <w:t>六、有关建议</w:t>
      </w:r>
    </w:p>
    <w:p w14:paraId="7EE766E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snapToGrid/>
          <w:kern w:val="2"/>
          <w:sz w:val="32"/>
          <w:szCs w:val="32"/>
          <w:lang w:val="en-US" w:eastAsia="zh-CN"/>
        </w:rPr>
      </w:pPr>
      <w:r>
        <w:rPr>
          <w:rFonts w:hint="eastAsia" w:ascii="楷体_GB2312" w:hAnsi="楷体_GB2312" w:eastAsia="楷体_GB2312" w:cs="楷体_GB2312"/>
          <w:snapToGrid/>
          <w:kern w:val="2"/>
          <w:sz w:val="32"/>
          <w:szCs w:val="32"/>
          <w:lang w:val="en-US" w:eastAsia="zh-CN"/>
        </w:rPr>
        <w:t>(一)针对项目决策问题</w:t>
      </w:r>
    </w:p>
    <w:p w14:paraId="558BE56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i w:val="0"/>
          <w:iCs w:val="0"/>
          <w:snapToGrid/>
          <w:kern w:val="2"/>
          <w:sz w:val="32"/>
          <w:szCs w:val="32"/>
          <w:u w:val="none"/>
          <w:lang w:val="en-US" w:eastAsia="zh-CN"/>
        </w:rPr>
      </w:pPr>
      <w:r>
        <w:rPr>
          <w:rFonts w:hint="eastAsia" w:ascii="仿宋_GB2312" w:hAnsi="仿宋_GB2312" w:eastAsia="仿宋_GB2312" w:cs="仿宋_GB2312"/>
          <w:i w:val="0"/>
          <w:iCs w:val="0"/>
          <w:snapToGrid/>
          <w:kern w:val="2"/>
          <w:sz w:val="32"/>
          <w:szCs w:val="32"/>
          <w:u w:val="none"/>
          <w:lang w:val="en-US" w:eastAsia="zh-CN"/>
        </w:rPr>
        <w:t>1.建议单位加强财政预算绩效管理理念及目标导向意识， 重视绩效目标申报表的填写和管理工作，科学填报绩效目标及各项指标，保证目标的明确性，确保各项指标的全面性、合理性、细化量化及可考量性，提高绩效目标的引领性作用；提高决策的科学性，加强项目前期需求调研及分析，根据项目实际需求合理有效地编制项目预算，提高预算编制的准确性。</w:t>
      </w:r>
    </w:p>
    <w:p w14:paraId="3DFE94E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i w:val="0"/>
          <w:iCs w:val="0"/>
          <w:snapToGrid/>
          <w:kern w:val="2"/>
          <w:sz w:val="32"/>
          <w:szCs w:val="32"/>
          <w:u w:val="none"/>
          <w:lang w:val="en-US" w:eastAsia="zh-CN"/>
        </w:rPr>
      </w:pPr>
      <w:r>
        <w:rPr>
          <w:rFonts w:hint="eastAsia" w:ascii="仿宋_GB2312" w:hAnsi="仿宋_GB2312" w:eastAsia="仿宋_GB2312" w:cs="仿宋_GB2312"/>
          <w:i w:val="0"/>
          <w:iCs w:val="0"/>
          <w:snapToGrid/>
          <w:kern w:val="2"/>
          <w:sz w:val="32"/>
          <w:szCs w:val="32"/>
          <w:u w:val="none"/>
          <w:lang w:val="en-US" w:eastAsia="zh-CN"/>
        </w:rPr>
        <w:t>2.建议单位对于专业性很强的工作，尤其是对于导则和图集，应该就技术方案提出审核和要求，便于实现指导性。</w:t>
      </w:r>
    </w:p>
    <w:p w14:paraId="5E84427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snapToGrid/>
          <w:kern w:val="2"/>
          <w:sz w:val="32"/>
          <w:szCs w:val="32"/>
          <w:lang w:val="en-US" w:eastAsia="zh-CN"/>
        </w:rPr>
      </w:pPr>
      <w:r>
        <w:rPr>
          <w:rFonts w:hint="eastAsia" w:ascii="楷体_GB2312" w:hAnsi="楷体_GB2312" w:eastAsia="楷体_GB2312" w:cs="楷体_GB2312"/>
          <w:snapToGrid/>
          <w:kern w:val="2"/>
          <w:sz w:val="32"/>
          <w:szCs w:val="32"/>
          <w:lang w:val="en-US" w:eastAsia="zh-CN"/>
        </w:rPr>
        <w:t>(二)针对项目过程管理问题</w:t>
      </w:r>
    </w:p>
    <w:p w14:paraId="19E2C5D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i w:val="0"/>
          <w:iCs w:val="0"/>
          <w:snapToGrid/>
          <w:kern w:val="2"/>
          <w:sz w:val="32"/>
          <w:szCs w:val="32"/>
          <w:u w:val="none"/>
          <w:lang w:val="en-US" w:eastAsia="zh-CN"/>
        </w:rPr>
      </w:pPr>
      <w:r>
        <w:rPr>
          <w:rFonts w:hint="eastAsia" w:ascii="仿宋_GB2312" w:hAnsi="仿宋_GB2312" w:eastAsia="仿宋_GB2312" w:cs="仿宋_GB2312"/>
          <w:i w:val="0"/>
          <w:iCs w:val="0"/>
          <w:snapToGrid/>
          <w:kern w:val="2"/>
          <w:sz w:val="32"/>
          <w:szCs w:val="32"/>
          <w:u w:val="none"/>
          <w:lang w:val="en-US" w:eastAsia="zh-CN"/>
        </w:rPr>
        <w:t>1.建议单位提高项目管理水平，合理设计并制定项目实施方案，重视项目主体责任及过程监管责任的落实，细化项目流程，明确项目执行中的组织保障、采购方案、验收方案、成本控制措施、资金使用进度安排、对供应商的过程监督措施、预期风险应对措施等内容，增强项目实施方案的有效性与可操作性，提高实施方案的指导性和约束性。</w:t>
      </w:r>
    </w:p>
    <w:p w14:paraId="6DD0204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i w:val="0"/>
          <w:iCs w:val="0"/>
          <w:snapToGrid/>
          <w:kern w:val="2"/>
          <w:sz w:val="32"/>
          <w:szCs w:val="32"/>
          <w:u w:val="none"/>
          <w:lang w:val="en-US" w:eastAsia="zh-CN"/>
        </w:rPr>
      </w:pPr>
      <w:r>
        <w:rPr>
          <w:rFonts w:hint="eastAsia" w:ascii="仿宋_GB2312" w:hAnsi="仿宋_GB2312" w:eastAsia="仿宋_GB2312" w:cs="仿宋_GB2312"/>
          <w:i w:val="0"/>
          <w:iCs w:val="0"/>
          <w:snapToGrid/>
          <w:kern w:val="2"/>
          <w:sz w:val="32"/>
          <w:szCs w:val="32"/>
          <w:u w:val="none"/>
          <w:lang w:val="en-US" w:eastAsia="zh-CN"/>
        </w:rPr>
        <w:t>2.建议单位在项目完成后按照方案和合同要求逐一进行验收，确定是否均达到了要求。</w:t>
      </w:r>
    </w:p>
    <w:p w14:paraId="11A29D8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snapToGrid/>
          <w:kern w:val="2"/>
          <w:sz w:val="32"/>
          <w:szCs w:val="32"/>
          <w:lang w:val="en-US" w:eastAsia="zh-CN"/>
        </w:rPr>
      </w:pPr>
      <w:r>
        <w:rPr>
          <w:rFonts w:hint="eastAsia" w:ascii="楷体_GB2312" w:hAnsi="楷体_GB2312" w:eastAsia="楷体_GB2312" w:cs="楷体_GB2312"/>
          <w:snapToGrid/>
          <w:kern w:val="2"/>
          <w:sz w:val="32"/>
          <w:szCs w:val="32"/>
          <w:lang w:val="en-US" w:eastAsia="zh-CN"/>
        </w:rPr>
        <w:t>(三)针对项目产出问题</w:t>
      </w:r>
    </w:p>
    <w:p w14:paraId="7D6B6A8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i w:val="0"/>
          <w:iCs w:val="0"/>
          <w:snapToGrid/>
          <w:kern w:val="2"/>
          <w:sz w:val="32"/>
          <w:szCs w:val="32"/>
          <w:u w:val="none"/>
          <w:lang w:val="en-US" w:eastAsia="zh-CN"/>
        </w:rPr>
      </w:pPr>
      <w:r>
        <w:rPr>
          <w:rFonts w:hint="eastAsia" w:ascii="仿宋_GB2312" w:hAnsi="仿宋_GB2312" w:eastAsia="仿宋_GB2312" w:cs="仿宋_GB2312"/>
          <w:i w:val="0"/>
          <w:iCs w:val="0"/>
          <w:snapToGrid/>
          <w:kern w:val="2"/>
          <w:sz w:val="32"/>
          <w:szCs w:val="32"/>
          <w:u w:val="none"/>
          <w:lang w:val="en-US" w:eastAsia="zh-CN"/>
        </w:rPr>
        <w:t>建议单位按照预算管理要求，加大对预算执行全过程的监督 管理力度，加强对项目实施的过程监督并留痕，确保财政专项资金的规范和有效，保障项目实施质量。</w:t>
      </w:r>
    </w:p>
    <w:p w14:paraId="785EAAD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snapToGrid/>
          <w:kern w:val="2"/>
          <w:sz w:val="32"/>
          <w:szCs w:val="32"/>
          <w:lang w:val="en-US" w:eastAsia="zh-CN"/>
        </w:rPr>
      </w:pPr>
      <w:r>
        <w:rPr>
          <w:rFonts w:hint="eastAsia" w:ascii="楷体_GB2312" w:hAnsi="楷体_GB2312" w:eastAsia="楷体_GB2312" w:cs="楷体_GB2312"/>
          <w:snapToGrid/>
          <w:kern w:val="2"/>
          <w:sz w:val="32"/>
          <w:szCs w:val="32"/>
          <w:lang w:val="en-US" w:eastAsia="zh-CN"/>
        </w:rPr>
        <w:t>(四)针对项目效益问题</w:t>
      </w:r>
    </w:p>
    <w:p w14:paraId="01A10DC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i w:val="0"/>
          <w:iCs w:val="0"/>
          <w:snapToGrid/>
          <w:kern w:val="2"/>
          <w:sz w:val="32"/>
          <w:szCs w:val="32"/>
          <w:u w:val="none"/>
          <w:lang w:val="en-US" w:eastAsia="zh-CN"/>
        </w:rPr>
      </w:pPr>
      <w:r>
        <w:rPr>
          <w:rFonts w:hint="eastAsia" w:ascii="仿宋_GB2312" w:hAnsi="仿宋_GB2312" w:eastAsia="仿宋_GB2312" w:cs="仿宋_GB2312"/>
          <w:i w:val="0"/>
          <w:iCs w:val="0"/>
          <w:snapToGrid/>
          <w:kern w:val="2"/>
          <w:sz w:val="32"/>
          <w:szCs w:val="32"/>
          <w:u w:val="none"/>
          <w:lang w:val="en-US" w:eastAsia="zh-CN"/>
        </w:rPr>
        <w:t>1. 建议单位加强项目绩效实现资料的归集和展示，梳理项目评价范围内应涉及到的资料，对照绩效目标表逐一分析项目完成情况。</w:t>
      </w:r>
    </w:p>
    <w:p w14:paraId="07C17EF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i w:val="0"/>
          <w:iCs w:val="0"/>
          <w:snapToGrid/>
          <w:kern w:val="2"/>
          <w:sz w:val="32"/>
          <w:szCs w:val="32"/>
          <w:u w:val="none"/>
          <w:lang w:val="en-US" w:eastAsia="zh-CN"/>
        </w:rPr>
      </w:pPr>
      <w:r>
        <w:rPr>
          <w:rFonts w:hint="eastAsia" w:ascii="仿宋_GB2312" w:hAnsi="仿宋_GB2312" w:eastAsia="仿宋_GB2312" w:cs="仿宋_GB2312"/>
          <w:i w:val="0"/>
          <w:iCs w:val="0"/>
          <w:snapToGrid/>
          <w:kern w:val="2"/>
          <w:sz w:val="32"/>
          <w:szCs w:val="32"/>
          <w:u w:val="none"/>
          <w:lang w:val="en-US" w:eastAsia="zh-CN"/>
        </w:rPr>
        <w:t>2.建议单位对项目效果进行量化分析，通过与历史数据进行对比体现财政资金投入效果，以充分体现项目的公共性表现。</w:t>
      </w:r>
    </w:p>
    <w:p w14:paraId="140169B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i w:val="0"/>
          <w:iCs w:val="0"/>
          <w:snapToGrid/>
          <w:kern w:val="2"/>
          <w:sz w:val="32"/>
          <w:szCs w:val="32"/>
          <w:u w:val="none"/>
          <w:lang w:val="en-US" w:eastAsia="zh-CN"/>
        </w:rPr>
      </w:pPr>
      <w:r>
        <w:rPr>
          <w:rFonts w:hint="eastAsia" w:ascii="仿宋_GB2312" w:hAnsi="仿宋_GB2312" w:eastAsia="仿宋_GB2312" w:cs="仿宋_GB2312"/>
          <w:i w:val="0"/>
          <w:iCs w:val="0"/>
          <w:snapToGrid/>
          <w:kern w:val="2"/>
          <w:sz w:val="32"/>
          <w:szCs w:val="32"/>
          <w:u w:val="none"/>
          <w:lang w:val="en-US" w:eastAsia="zh-CN"/>
        </w:rPr>
        <w:t>3.建议单位重视工作成果的反馈，对于直接关系到民众的项目，有效开展服务对象满意度调查工作，科学设计调查问卷，倾听服务对象的声音和诉求，加强统计分析和结果应用，为效果呈现提供支持，持续解决项目组织实施过程中存在的问题，增强项目的社会效益。提高绩效报告撰写水平。</w:t>
      </w:r>
    </w:p>
    <w:p w14:paraId="6DCDD1DD">
      <w:pPr>
        <w:pStyle w:val="2"/>
        <w:keepNext w:val="0"/>
        <w:keepLines w:val="0"/>
        <w:pageBreakBefore w:val="0"/>
        <w:wordWrap/>
        <w:overflowPunct/>
        <w:topLinePunct w:val="0"/>
        <w:bidi w:val="0"/>
        <w:spacing w:before="44" w:line="560" w:lineRule="exact"/>
        <w:ind w:firstLine="671" w:firstLineChars="200"/>
        <w:outlineLvl w:val="2"/>
        <w:rPr>
          <w:rFonts w:hint="eastAsia"/>
          <w:b/>
          <w:bCs/>
          <w:spacing w:val="7"/>
          <w:sz w:val="32"/>
          <w:szCs w:val="32"/>
          <w:highlight w:val="none"/>
        </w:rPr>
      </w:pPr>
      <w:r>
        <w:rPr>
          <w:rFonts w:hint="eastAsia"/>
          <w:b/>
          <w:bCs/>
          <w:spacing w:val="7"/>
          <w:sz w:val="32"/>
          <w:szCs w:val="32"/>
          <w:highlight w:val="none"/>
        </w:rPr>
        <w:t>七、其他需要说明的问题</w:t>
      </w:r>
    </w:p>
    <w:p w14:paraId="0D3C4CC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i w:val="0"/>
          <w:iCs w:val="0"/>
          <w:snapToGrid/>
          <w:kern w:val="2"/>
          <w:sz w:val="32"/>
          <w:szCs w:val="32"/>
          <w:u w:val="none"/>
          <w:lang w:val="en-US" w:eastAsia="zh-CN"/>
        </w:rPr>
      </w:pPr>
      <w:r>
        <w:rPr>
          <w:rFonts w:hint="eastAsia" w:ascii="仿宋_GB2312" w:hAnsi="仿宋_GB2312" w:eastAsia="仿宋_GB2312" w:cs="仿宋_GB2312"/>
          <w:i w:val="0"/>
          <w:iCs w:val="0"/>
          <w:snapToGrid/>
          <w:kern w:val="2"/>
          <w:sz w:val="32"/>
          <w:szCs w:val="32"/>
          <w:u w:val="none"/>
          <w:lang w:val="en-US" w:eastAsia="zh-CN"/>
        </w:rPr>
        <w:t>本报告是绩效评价工作组根据项目单位所提供的材料进行全面分析与评价，在专家评价意见的基础上综合形成的。本报告的结论与意见是参考性的，仅供绩效管理时进行参考，不做其他用途。</w:t>
      </w:r>
      <w:bookmarkStart w:id="0" w:name="_GoBack"/>
      <w:bookmarkEnd w:id="0"/>
    </w:p>
    <w:p w14:paraId="6BA9B393">
      <w:pPr>
        <w:pStyle w:val="2"/>
        <w:keepNext w:val="0"/>
        <w:keepLines w:val="0"/>
        <w:pageBreakBefore w:val="0"/>
        <w:wordWrap/>
        <w:overflowPunct/>
        <w:topLinePunct w:val="0"/>
        <w:bidi w:val="0"/>
        <w:spacing w:before="44" w:line="560" w:lineRule="exact"/>
        <w:ind w:firstLine="671" w:firstLineChars="200"/>
        <w:outlineLvl w:val="2"/>
        <w:rPr>
          <w:rFonts w:hint="eastAsia"/>
          <w:b/>
          <w:bCs/>
          <w:spacing w:val="7"/>
          <w:sz w:val="32"/>
          <w:szCs w:val="32"/>
          <w:highlight w:val="none"/>
        </w:rPr>
      </w:pPr>
      <w:r>
        <w:rPr>
          <w:rFonts w:hint="eastAsia"/>
          <w:b/>
          <w:bCs/>
          <w:spacing w:val="7"/>
          <w:sz w:val="32"/>
          <w:szCs w:val="32"/>
          <w:highlight w:val="none"/>
        </w:rPr>
        <w:t>八、附件</w:t>
      </w:r>
    </w:p>
    <w:p w14:paraId="06A2ABC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i w:val="0"/>
          <w:iCs w:val="0"/>
          <w:snapToGrid/>
          <w:kern w:val="2"/>
          <w:sz w:val="32"/>
          <w:szCs w:val="32"/>
          <w:u w:val="none"/>
          <w:lang w:val="en-US" w:eastAsia="zh-CN"/>
        </w:rPr>
      </w:pPr>
      <w:r>
        <w:rPr>
          <w:rFonts w:hint="eastAsia" w:ascii="仿宋_GB2312" w:hAnsi="仿宋_GB2312" w:eastAsia="仿宋_GB2312" w:cs="仿宋_GB2312"/>
          <w:i w:val="0"/>
          <w:iCs w:val="0"/>
          <w:snapToGrid/>
          <w:kern w:val="2"/>
          <w:sz w:val="32"/>
          <w:szCs w:val="32"/>
          <w:u w:val="none"/>
          <w:lang w:val="en-US" w:eastAsia="zh-CN"/>
        </w:rPr>
        <w:t>指标体系及打分情况表</w:t>
      </w:r>
    </w:p>
    <w:p w14:paraId="5962A9E0">
      <w:pPr>
        <w:spacing w:line="222" w:lineRule="auto"/>
        <w:rPr>
          <w:rFonts w:ascii="仿宋" w:hAnsi="仿宋" w:eastAsia="仿宋" w:cs="仿宋"/>
          <w:sz w:val="31"/>
          <w:szCs w:val="31"/>
          <w:highlight w:val="none"/>
        </w:rPr>
        <w:sectPr>
          <w:headerReference r:id="rId6" w:type="default"/>
          <w:footerReference r:id="rId7" w:type="default"/>
          <w:pgSz w:w="11900" w:h="16830"/>
          <w:pgMar w:top="2098" w:right="1474" w:bottom="1984" w:left="1587" w:header="0" w:footer="1501" w:gutter="0"/>
          <w:pgNumType w:fmt="numberInDash" w:start="1"/>
          <w:cols w:space="720" w:num="1"/>
        </w:sectPr>
      </w:pPr>
    </w:p>
    <w:p w14:paraId="2F8F1A80">
      <w:pPr>
        <w:spacing w:line="247" w:lineRule="auto"/>
        <w:rPr>
          <w:rFonts w:ascii="Arial"/>
          <w:sz w:val="21"/>
          <w:highlight w:val="none"/>
        </w:rPr>
      </w:pPr>
    </w:p>
    <w:p w14:paraId="551B8A7B">
      <w:pPr>
        <w:spacing w:line="247" w:lineRule="auto"/>
        <w:rPr>
          <w:rFonts w:ascii="Arial"/>
          <w:sz w:val="21"/>
          <w:highlight w:val="none"/>
        </w:rPr>
      </w:pPr>
    </w:p>
    <w:p w14:paraId="7B55133A">
      <w:pPr>
        <w:spacing w:line="247" w:lineRule="auto"/>
        <w:rPr>
          <w:rFonts w:ascii="Arial"/>
          <w:sz w:val="21"/>
          <w:highlight w:val="none"/>
        </w:rPr>
      </w:pPr>
    </w:p>
    <w:p w14:paraId="3F8A80B1">
      <w:pPr>
        <w:spacing w:line="247" w:lineRule="auto"/>
        <w:rPr>
          <w:rFonts w:ascii="Arial"/>
          <w:sz w:val="21"/>
          <w:highlight w:val="none"/>
        </w:rPr>
      </w:pPr>
    </w:p>
    <w:p w14:paraId="07FFEBA1">
      <w:pPr>
        <w:spacing w:line="247" w:lineRule="auto"/>
        <w:rPr>
          <w:rFonts w:ascii="Arial"/>
          <w:sz w:val="21"/>
          <w:highlight w:val="none"/>
        </w:rPr>
      </w:pPr>
    </w:p>
    <w:p w14:paraId="7F752919">
      <w:pPr>
        <w:spacing w:line="247" w:lineRule="auto"/>
        <w:rPr>
          <w:rFonts w:ascii="Arial"/>
          <w:sz w:val="21"/>
          <w:highlight w:val="none"/>
        </w:rPr>
      </w:pPr>
    </w:p>
    <w:p w14:paraId="0F50DD3B">
      <w:pPr>
        <w:spacing w:line="247" w:lineRule="auto"/>
        <w:rPr>
          <w:rFonts w:ascii="Arial"/>
          <w:sz w:val="21"/>
          <w:highlight w:val="none"/>
        </w:rPr>
      </w:pPr>
    </w:p>
    <w:p w14:paraId="0F0BA598">
      <w:pPr>
        <w:spacing w:line="247" w:lineRule="auto"/>
        <w:rPr>
          <w:rFonts w:ascii="Arial"/>
          <w:sz w:val="21"/>
          <w:highlight w:val="none"/>
        </w:rPr>
      </w:pPr>
    </w:p>
    <w:p w14:paraId="6DE46B3E">
      <w:pPr>
        <w:spacing w:line="247" w:lineRule="auto"/>
        <w:rPr>
          <w:rFonts w:ascii="Arial"/>
          <w:sz w:val="21"/>
          <w:highlight w:val="none"/>
        </w:rPr>
      </w:pPr>
    </w:p>
    <w:p w14:paraId="09A37058">
      <w:pPr>
        <w:spacing w:line="247" w:lineRule="auto"/>
        <w:rPr>
          <w:rFonts w:ascii="Arial"/>
          <w:sz w:val="21"/>
          <w:highlight w:val="none"/>
        </w:rPr>
      </w:pPr>
    </w:p>
    <w:p w14:paraId="3BD86901">
      <w:pPr>
        <w:spacing w:line="247" w:lineRule="auto"/>
        <w:rPr>
          <w:rFonts w:ascii="Arial"/>
          <w:sz w:val="21"/>
          <w:highlight w:val="none"/>
        </w:rPr>
      </w:pPr>
    </w:p>
    <w:p w14:paraId="40197B07">
      <w:pPr>
        <w:spacing w:line="247" w:lineRule="auto"/>
        <w:rPr>
          <w:rFonts w:ascii="Arial"/>
          <w:sz w:val="21"/>
          <w:highlight w:val="none"/>
        </w:rPr>
      </w:pPr>
    </w:p>
    <w:p w14:paraId="0031EE50">
      <w:pPr>
        <w:spacing w:line="247" w:lineRule="auto"/>
        <w:rPr>
          <w:rFonts w:ascii="Arial"/>
          <w:sz w:val="21"/>
          <w:highlight w:val="none"/>
        </w:rPr>
      </w:pPr>
    </w:p>
    <w:p w14:paraId="3A418393">
      <w:pPr>
        <w:spacing w:line="247" w:lineRule="auto"/>
        <w:rPr>
          <w:rFonts w:ascii="Arial"/>
          <w:sz w:val="21"/>
          <w:highlight w:val="none"/>
        </w:rPr>
      </w:pPr>
    </w:p>
    <w:p w14:paraId="2BF8C103">
      <w:pPr>
        <w:spacing w:line="248" w:lineRule="auto"/>
        <w:rPr>
          <w:rFonts w:ascii="Arial"/>
          <w:sz w:val="21"/>
          <w:highlight w:val="none"/>
        </w:rPr>
      </w:pPr>
    </w:p>
    <w:p w14:paraId="6A697A68">
      <w:pPr>
        <w:spacing w:line="248" w:lineRule="auto"/>
        <w:rPr>
          <w:rFonts w:ascii="Arial"/>
          <w:sz w:val="21"/>
          <w:highlight w:val="none"/>
        </w:rPr>
      </w:pPr>
    </w:p>
    <w:p w14:paraId="0B447BDC">
      <w:pPr>
        <w:pStyle w:val="2"/>
        <w:spacing w:before="143" w:line="221" w:lineRule="auto"/>
        <w:jc w:val="center"/>
        <w:outlineLvl w:val="0"/>
        <w:rPr>
          <w:rFonts w:hint="eastAsia" w:ascii="方正小标宋简体" w:hAnsi="方正小标宋简体" w:eastAsia="方正小标宋简体" w:cs="方正小标宋简体"/>
          <w:snapToGrid/>
          <w:kern w:val="2"/>
          <w:sz w:val="44"/>
          <w:szCs w:val="44"/>
          <w:lang w:val="en-US" w:eastAsia="zh-CN" w:bidi="ar-SA"/>
        </w:rPr>
      </w:pPr>
      <w:r>
        <w:rPr>
          <w:rFonts w:hint="eastAsia" w:ascii="方正小标宋简体" w:hAnsi="方正小标宋简体" w:eastAsia="方正小标宋简体" w:cs="方正小标宋简体"/>
          <w:snapToGrid/>
          <w:kern w:val="2"/>
          <w:sz w:val="44"/>
          <w:szCs w:val="44"/>
          <w:lang w:val="en-US" w:eastAsia="zh-CN" w:bidi="ar-SA"/>
        </w:rPr>
        <w:t>北京市项目支出绩效评价专家</w:t>
      </w:r>
    </w:p>
    <w:p w14:paraId="0243CE9F">
      <w:pPr>
        <w:pStyle w:val="2"/>
        <w:spacing w:before="143" w:line="221" w:lineRule="auto"/>
        <w:jc w:val="center"/>
        <w:outlineLvl w:val="0"/>
        <w:rPr>
          <w:rFonts w:hint="eastAsia" w:ascii="方正小标宋简体" w:hAnsi="方正小标宋简体" w:eastAsia="方正小标宋简体" w:cs="方正小标宋简体"/>
          <w:snapToGrid/>
          <w:kern w:val="2"/>
          <w:sz w:val="44"/>
          <w:szCs w:val="44"/>
          <w:lang w:val="en-US" w:eastAsia="zh-CN" w:bidi="ar-SA"/>
        </w:rPr>
      </w:pPr>
      <w:r>
        <w:rPr>
          <w:rFonts w:hint="eastAsia" w:ascii="方正小标宋简体" w:hAnsi="方正小标宋简体" w:eastAsia="方正小标宋简体" w:cs="方正小标宋简体"/>
          <w:snapToGrid/>
          <w:kern w:val="2"/>
          <w:sz w:val="44"/>
          <w:szCs w:val="44"/>
          <w:lang w:val="en-US" w:eastAsia="zh-CN" w:bidi="ar-SA"/>
        </w:rPr>
        <w:t>意见汇总书</w:t>
      </w:r>
    </w:p>
    <w:p w14:paraId="7361290D">
      <w:pPr>
        <w:spacing w:line="254" w:lineRule="auto"/>
        <w:rPr>
          <w:rFonts w:ascii="Arial"/>
          <w:sz w:val="21"/>
          <w:highlight w:val="none"/>
        </w:rPr>
      </w:pPr>
    </w:p>
    <w:p w14:paraId="2798EA70">
      <w:pPr>
        <w:spacing w:line="254" w:lineRule="auto"/>
        <w:rPr>
          <w:rFonts w:ascii="Arial"/>
          <w:sz w:val="21"/>
          <w:highlight w:val="none"/>
        </w:rPr>
      </w:pPr>
    </w:p>
    <w:p w14:paraId="7F395BD6">
      <w:pPr>
        <w:spacing w:line="254" w:lineRule="auto"/>
        <w:rPr>
          <w:rFonts w:ascii="Arial"/>
          <w:sz w:val="21"/>
          <w:highlight w:val="none"/>
        </w:rPr>
      </w:pPr>
    </w:p>
    <w:p w14:paraId="5AA975FD">
      <w:pPr>
        <w:spacing w:line="254" w:lineRule="auto"/>
        <w:rPr>
          <w:rFonts w:ascii="Arial"/>
          <w:sz w:val="21"/>
          <w:highlight w:val="none"/>
        </w:rPr>
      </w:pPr>
    </w:p>
    <w:p w14:paraId="739DCBBE">
      <w:pPr>
        <w:spacing w:line="255" w:lineRule="auto"/>
        <w:rPr>
          <w:rFonts w:ascii="Arial"/>
          <w:sz w:val="21"/>
          <w:highlight w:val="none"/>
        </w:rPr>
      </w:pPr>
    </w:p>
    <w:p w14:paraId="1D0E4510">
      <w:pPr>
        <w:spacing w:line="255" w:lineRule="auto"/>
        <w:rPr>
          <w:rFonts w:ascii="Arial"/>
          <w:sz w:val="21"/>
          <w:highlight w:val="none"/>
        </w:rPr>
      </w:pPr>
    </w:p>
    <w:p w14:paraId="0D5D4732">
      <w:pPr>
        <w:spacing w:line="255" w:lineRule="auto"/>
        <w:rPr>
          <w:rFonts w:ascii="Arial"/>
          <w:sz w:val="21"/>
          <w:highlight w:val="none"/>
        </w:rPr>
      </w:pPr>
    </w:p>
    <w:p w14:paraId="372AE4A1">
      <w:pPr>
        <w:spacing w:line="255" w:lineRule="auto"/>
        <w:rPr>
          <w:rFonts w:ascii="Arial"/>
          <w:sz w:val="21"/>
          <w:highlight w:val="none"/>
        </w:rPr>
      </w:pPr>
    </w:p>
    <w:p w14:paraId="78520E4F">
      <w:pPr>
        <w:spacing w:line="255" w:lineRule="auto"/>
        <w:rPr>
          <w:rFonts w:ascii="Arial"/>
          <w:sz w:val="21"/>
          <w:highlight w:val="none"/>
        </w:rPr>
      </w:pPr>
    </w:p>
    <w:p w14:paraId="4BC784FC">
      <w:pPr>
        <w:spacing w:line="255" w:lineRule="auto"/>
        <w:rPr>
          <w:rFonts w:ascii="Arial"/>
          <w:sz w:val="21"/>
          <w:highlight w:val="none"/>
        </w:rPr>
      </w:pPr>
    </w:p>
    <w:p w14:paraId="0551DE15">
      <w:pPr>
        <w:spacing w:line="255" w:lineRule="auto"/>
        <w:rPr>
          <w:rFonts w:ascii="Arial"/>
          <w:sz w:val="21"/>
          <w:highlight w:val="none"/>
        </w:rPr>
      </w:pPr>
    </w:p>
    <w:p w14:paraId="3F472083">
      <w:pPr>
        <w:spacing w:line="255" w:lineRule="auto"/>
        <w:rPr>
          <w:rFonts w:ascii="Arial"/>
          <w:sz w:val="21"/>
          <w:highlight w:val="none"/>
        </w:rPr>
      </w:pPr>
    </w:p>
    <w:p w14:paraId="0C89E5C7">
      <w:pPr>
        <w:spacing w:line="255" w:lineRule="auto"/>
        <w:rPr>
          <w:rFonts w:ascii="Arial"/>
          <w:sz w:val="21"/>
          <w:highlight w:val="none"/>
        </w:rPr>
      </w:pPr>
    </w:p>
    <w:p w14:paraId="1890223C">
      <w:pPr>
        <w:spacing w:line="255" w:lineRule="auto"/>
        <w:rPr>
          <w:rFonts w:ascii="Arial"/>
          <w:sz w:val="21"/>
          <w:highlight w:val="none"/>
        </w:rPr>
      </w:pPr>
    </w:p>
    <w:p w14:paraId="28D0B5A2">
      <w:pPr>
        <w:spacing w:before="78" w:line="219" w:lineRule="auto"/>
        <w:ind w:left="1385"/>
        <w:rPr>
          <w:rFonts w:ascii="宋体" w:hAnsi="宋体" w:eastAsia="宋体" w:cs="宋体"/>
          <w:sz w:val="24"/>
          <w:szCs w:val="24"/>
          <w:highlight w:val="none"/>
        </w:rPr>
      </w:pPr>
      <w:r>
        <w:rPr>
          <w:rFonts w:ascii="宋体" w:hAnsi="宋体" w:eastAsia="宋体" w:cs="宋体"/>
          <w:spacing w:val="-1"/>
          <w:sz w:val="24"/>
          <w:szCs w:val="24"/>
          <w:highlight w:val="none"/>
        </w:rPr>
        <w:t>项目名称：</w:t>
      </w:r>
      <w:r>
        <w:rPr>
          <w:rFonts w:ascii="宋体" w:hAnsi="宋体" w:eastAsia="宋体" w:cs="宋体"/>
          <w:spacing w:val="-1"/>
          <w:sz w:val="24"/>
          <w:szCs w:val="24"/>
          <w:highlight w:val="none"/>
          <w:u w:val="single" w:color="auto"/>
        </w:rPr>
        <w:t>农村供水和自建设施供水行业监管项且</w:t>
      </w:r>
    </w:p>
    <w:p w14:paraId="4523FA8F">
      <w:pPr>
        <w:spacing w:before="265" w:line="220" w:lineRule="auto"/>
        <w:ind w:left="1385"/>
        <w:rPr>
          <w:rFonts w:ascii="宋体" w:hAnsi="宋体" w:eastAsia="宋体" w:cs="宋体"/>
          <w:sz w:val="24"/>
          <w:szCs w:val="24"/>
          <w:highlight w:val="none"/>
        </w:rPr>
      </w:pPr>
      <w:r>
        <w:rPr>
          <w:rFonts w:ascii="宋体" w:hAnsi="宋体" w:eastAsia="宋体" w:cs="宋体"/>
          <w:spacing w:val="-10"/>
          <w:sz w:val="24"/>
          <w:szCs w:val="24"/>
          <w:highlight w:val="none"/>
        </w:rPr>
        <w:t xml:space="preserve">项目单位： </w:t>
      </w:r>
      <w:r>
        <w:rPr>
          <w:rFonts w:ascii="宋体" w:hAnsi="宋体" w:eastAsia="宋体" w:cs="宋体"/>
          <w:spacing w:val="-95"/>
          <w:sz w:val="24"/>
          <w:szCs w:val="24"/>
          <w:highlight w:val="none"/>
          <w:u w:val="single" w:color="auto"/>
        </w:rPr>
        <w:t xml:space="preserve"> </w:t>
      </w:r>
      <w:r>
        <w:rPr>
          <w:rFonts w:ascii="宋体" w:hAnsi="宋体" w:eastAsia="宋体" w:cs="宋体"/>
          <w:spacing w:val="-10"/>
          <w:sz w:val="24"/>
          <w:szCs w:val="24"/>
          <w:highlight w:val="none"/>
          <w:u w:val="single" w:color="auto"/>
        </w:rPr>
        <w:t>北</w:t>
      </w:r>
      <w:r>
        <w:rPr>
          <w:rFonts w:ascii="宋体" w:hAnsi="宋体" w:eastAsia="宋体" w:cs="宋体"/>
          <w:spacing w:val="-48"/>
          <w:sz w:val="24"/>
          <w:szCs w:val="24"/>
          <w:highlight w:val="none"/>
          <w:u w:val="single" w:color="auto"/>
        </w:rPr>
        <w:t xml:space="preserve"> </w:t>
      </w:r>
      <w:r>
        <w:rPr>
          <w:rFonts w:ascii="宋体" w:hAnsi="宋体" w:eastAsia="宋体" w:cs="宋体"/>
          <w:spacing w:val="-10"/>
          <w:sz w:val="24"/>
          <w:szCs w:val="24"/>
          <w:highlight w:val="none"/>
          <w:u w:val="single" w:color="auto"/>
        </w:rPr>
        <w:t>京</w:t>
      </w:r>
      <w:r>
        <w:rPr>
          <w:rFonts w:ascii="宋体" w:hAnsi="宋体" w:eastAsia="宋体" w:cs="宋体"/>
          <w:spacing w:val="-46"/>
          <w:sz w:val="24"/>
          <w:szCs w:val="24"/>
          <w:highlight w:val="none"/>
          <w:u w:val="single" w:color="auto"/>
        </w:rPr>
        <w:t xml:space="preserve"> </w:t>
      </w:r>
      <w:r>
        <w:rPr>
          <w:rFonts w:ascii="宋体" w:hAnsi="宋体" w:eastAsia="宋体" w:cs="宋体"/>
          <w:spacing w:val="-10"/>
          <w:sz w:val="24"/>
          <w:szCs w:val="24"/>
          <w:highlight w:val="none"/>
          <w:u w:val="single" w:color="auto"/>
        </w:rPr>
        <w:t>市</w:t>
      </w:r>
      <w:r>
        <w:rPr>
          <w:rFonts w:ascii="宋体" w:hAnsi="宋体" w:eastAsia="宋体" w:cs="宋体"/>
          <w:spacing w:val="-54"/>
          <w:sz w:val="24"/>
          <w:szCs w:val="24"/>
          <w:highlight w:val="none"/>
          <w:u w:val="single" w:color="auto"/>
        </w:rPr>
        <w:t xml:space="preserve"> </w:t>
      </w:r>
      <w:r>
        <w:rPr>
          <w:rFonts w:ascii="宋体" w:hAnsi="宋体" w:eastAsia="宋体" w:cs="宋体"/>
          <w:spacing w:val="-10"/>
          <w:sz w:val="24"/>
          <w:szCs w:val="24"/>
          <w:highlight w:val="none"/>
          <w:u w:val="single" w:color="auto"/>
        </w:rPr>
        <w:t>供</w:t>
      </w:r>
      <w:r>
        <w:rPr>
          <w:rFonts w:ascii="宋体" w:hAnsi="宋体" w:eastAsia="宋体" w:cs="宋体"/>
          <w:spacing w:val="-50"/>
          <w:sz w:val="24"/>
          <w:szCs w:val="24"/>
          <w:highlight w:val="none"/>
          <w:u w:val="single" w:color="auto"/>
        </w:rPr>
        <w:t xml:space="preserve"> </w:t>
      </w:r>
      <w:r>
        <w:rPr>
          <w:rFonts w:ascii="宋体" w:hAnsi="宋体" w:eastAsia="宋体" w:cs="宋体"/>
          <w:spacing w:val="-10"/>
          <w:sz w:val="24"/>
          <w:szCs w:val="24"/>
          <w:highlight w:val="none"/>
          <w:u w:val="single" w:color="auto"/>
        </w:rPr>
        <w:t>水</w:t>
      </w:r>
      <w:r>
        <w:rPr>
          <w:rFonts w:ascii="宋体" w:hAnsi="宋体" w:eastAsia="宋体" w:cs="宋体"/>
          <w:spacing w:val="-47"/>
          <w:sz w:val="24"/>
          <w:szCs w:val="24"/>
          <w:highlight w:val="none"/>
          <w:u w:val="single" w:color="auto"/>
        </w:rPr>
        <w:t xml:space="preserve"> </w:t>
      </w:r>
      <w:r>
        <w:rPr>
          <w:rFonts w:ascii="宋体" w:hAnsi="宋体" w:eastAsia="宋体" w:cs="宋体"/>
          <w:spacing w:val="-10"/>
          <w:sz w:val="24"/>
          <w:szCs w:val="24"/>
          <w:highlight w:val="none"/>
          <w:u w:val="single" w:color="auto"/>
        </w:rPr>
        <w:t>管</w:t>
      </w:r>
      <w:r>
        <w:rPr>
          <w:rFonts w:ascii="宋体" w:hAnsi="宋体" w:eastAsia="宋体" w:cs="宋体"/>
          <w:spacing w:val="-51"/>
          <w:sz w:val="24"/>
          <w:szCs w:val="24"/>
          <w:highlight w:val="none"/>
          <w:u w:val="single" w:color="auto"/>
        </w:rPr>
        <w:t xml:space="preserve"> </w:t>
      </w:r>
      <w:r>
        <w:rPr>
          <w:rFonts w:ascii="宋体" w:hAnsi="宋体" w:eastAsia="宋体" w:cs="宋体"/>
          <w:spacing w:val="-10"/>
          <w:sz w:val="24"/>
          <w:szCs w:val="24"/>
          <w:highlight w:val="none"/>
          <w:u w:val="single" w:color="auto"/>
        </w:rPr>
        <w:t>理</w:t>
      </w:r>
      <w:r>
        <w:rPr>
          <w:rFonts w:ascii="宋体" w:hAnsi="宋体" w:eastAsia="宋体" w:cs="宋体"/>
          <w:spacing w:val="-53"/>
          <w:sz w:val="24"/>
          <w:szCs w:val="24"/>
          <w:highlight w:val="none"/>
          <w:u w:val="single" w:color="auto"/>
        </w:rPr>
        <w:t xml:space="preserve"> </w:t>
      </w:r>
      <w:r>
        <w:rPr>
          <w:rFonts w:ascii="宋体" w:hAnsi="宋体" w:eastAsia="宋体" w:cs="宋体"/>
          <w:spacing w:val="-10"/>
          <w:sz w:val="24"/>
          <w:szCs w:val="24"/>
          <w:highlight w:val="none"/>
          <w:u w:val="single" w:color="auto"/>
        </w:rPr>
        <w:t>事</w:t>
      </w:r>
      <w:r>
        <w:rPr>
          <w:rFonts w:ascii="宋体" w:hAnsi="宋体" w:eastAsia="宋体" w:cs="宋体"/>
          <w:spacing w:val="-51"/>
          <w:sz w:val="24"/>
          <w:szCs w:val="24"/>
          <w:highlight w:val="none"/>
          <w:u w:val="single" w:color="auto"/>
        </w:rPr>
        <w:t xml:space="preserve"> </w:t>
      </w:r>
      <w:r>
        <w:rPr>
          <w:rFonts w:ascii="宋体" w:hAnsi="宋体" w:eastAsia="宋体" w:cs="宋体"/>
          <w:spacing w:val="-10"/>
          <w:sz w:val="24"/>
          <w:szCs w:val="24"/>
          <w:highlight w:val="none"/>
          <w:u w:val="single" w:color="auto"/>
        </w:rPr>
        <w:t>务</w:t>
      </w:r>
      <w:r>
        <w:rPr>
          <w:rFonts w:ascii="宋体" w:hAnsi="宋体" w:eastAsia="宋体" w:cs="宋体"/>
          <w:spacing w:val="-31"/>
          <w:sz w:val="24"/>
          <w:szCs w:val="24"/>
          <w:highlight w:val="none"/>
          <w:u w:val="single" w:color="auto"/>
        </w:rPr>
        <w:t xml:space="preserve"> </w:t>
      </w:r>
      <w:r>
        <w:rPr>
          <w:rFonts w:ascii="宋体" w:hAnsi="宋体" w:eastAsia="宋体" w:cs="宋体"/>
          <w:spacing w:val="-10"/>
          <w:sz w:val="24"/>
          <w:szCs w:val="24"/>
          <w:highlight w:val="none"/>
          <w:u w:val="single" w:color="auto"/>
        </w:rPr>
        <w:t>中</w:t>
      </w:r>
      <w:r>
        <w:rPr>
          <w:rFonts w:ascii="宋体" w:hAnsi="宋体" w:eastAsia="宋体" w:cs="宋体"/>
          <w:spacing w:val="-45"/>
          <w:sz w:val="24"/>
          <w:szCs w:val="24"/>
          <w:highlight w:val="none"/>
          <w:u w:val="single" w:color="auto"/>
        </w:rPr>
        <w:t xml:space="preserve"> </w:t>
      </w:r>
      <w:r>
        <w:rPr>
          <w:rFonts w:ascii="宋体" w:hAnsi="宋体" w:eastAsia="宋体" w:cs="宋体"/>
          <w:spacing w:val="-10"/>
          <w:sz w:val="24"/>
          <w:szCs w:val="24"/>
          <w:highlight w:val="none"/>
          <w:u w:val="single" w:color="auto"/>
        </w:rPr>
        <w:t>心</w:t>
      </w:r>
      <w:r>
        <w:rPr>
          <w:rFonts w:ascii="宋体" w:hAnsi="宋体" w:eastAsia="宋体" w:cs="宋体"/>
          <w:sz w:val="24"/>
          <w:szCs w:val="24"/>
          <w:highlight w:val="none"/>
          <w:u w:val="single" w:color="auto"/>
        </w:rPr>
        <w:t xml:space="preserve">      </w:t>
      </w:r>
    </w:p>
    <w:p w14:paraId="5CC9DFBD">
      <w:pPr>
        <w:spacing w:before="255" w:line="219" w:lineRule="auto"/>
        <w:ind w:left="1385"/>
        <w:rPr>
          <w:rFonts w:ascii="宋体" w:hAnsi="宋体" w:eastAsia="宋体" w:cs="宋体"/>
          <w:sz w:val="24"/>
          <w:szCs w:val="24"/>
          <w:highlight w:val="none"/>
        </w:rPr>
      </w:pPr>
      <w:r>
        <w:rPr>
          <w:rFonts w:ascii="宋体" w:hAnsi="宋体" w:eastAsia="宋体" w:cs="宋体"/>
          <w:spacing w:val="-7"/>
          <w:sz w:val="24"/>
          <w:szCs w:val="24"/>
          <w:highlight w:val="none"/>
        </w:rPr>
        <w:t xml:space="preserve">主管部门： </w:t>
      </w:r>
      <w:r>
        <w:rPr>
          <w:rFonts w:ascii="宋体" w:hAnsi="宋体" w:eastAsia="宋体" w:cs="宋体"/>
          <w:spacing w:val="-95"/>
          <w:sz w:val="24"/>
          <w:szCs w:val="24"/>
          <w:highlight w:val="none"/>
          <w:u w:val="single" w:color="auto"/>
        </w:rPr>
        <w:t xml:space="preserve"> </w:t>
      </w:r>
      <w:r>
        <w:rPr>
          <w:rFonts w:ascii="宋体" w:hAnsi="宋体" w:eastAsia="宋体" w:cs="宋体"/>
          <w:spacing w:val="-7"/>
          <w:sz w:val="24"/>
          <w:szCs w:val="24"/>
          <w:highlight w:val="none"/>
          <w:u w:val="single" w:color="auto"/>
        </w:rPr>
        <w:t>北 京 市 水 务 局</w:t>
      </w:r>
      <w:r>
        <w:rPr>
          <w:rFonts w:ascii="宋体" w:hAnsi="宋体" w:eastAsia="宋体" w:cs="宋体"/>
          <w:sz w:val="24"/>
          <w:szCs w:val="24"/>
          <w:highlight w:val="none"/>
          <w:u w:val="single" w:color="auto"/>
        </w:rPr>
        <w:t xml:space="preserve">                 </w:t>
      </w:r>
    </w:p>
    <w:p w14:paraId="6BF0D897">
      <w:pPr>
        <w:spacing w:before="225" w:line="224" w:lineRule="auto"/>
        <w:ind w:left="1435"/>
        <w:rPr>
          <w:rFonts w:ascii="宋体" w:hAnsi="宋体" w:eastAsia="宋体" w:cs="宋体"/>
          <w:sz w:val="19"/>
          <w:szCs w:val="19"/>
          <w:highlight w:val="none"/>
        </w:rPr>
      </w:pPr>
      <w:r>
        <w:rPr>
          <w:rFonts w:ascii="宋体" w:hAnsi="宋体" w:eastAsia="宋体" w:cs="宋体"/>
          <w:spacing w:val="-4"/>
          <w:sz w:val="24"/>
          <w:szCs w:val="24"/>
          <w:highlight w:val="none"/>
        </w:rPr>
        <w:t>评价时间：</w:t>
      </w:r>
      <w:r>
        <w:rPr>
          <w:rFonts w:ascii="Times New Roman" w:hAnsi="Times New Roman" w:eastAsia="Times New Roman" w:cs="Times New Roman"/>
          <w:spacing w:val="-4"/>
          <w:sz w:val="24"/>
          <w:szCs w:val="24"/>
          <w:highlight w:val="none"/>
          <w:u w:val="single" w:color="auto"/>
        </w:rPr>
        <w:t>2025</w:t>
      </w:r>
      <w:r>
        <w:rPr>
          <w:rFonts w:ascii="Times New Roman" w:hAnsi="Times New Roman" w:eastAsia="Times New Roman" w:cs="Times New Roman"/>
          <w:spacing w:val="-4"/>
          <w:sz w:val="24"/>
          <w:szCs w:val="24"/>
          <w:highlight w:val="none"/>
        </w:rPr>
        <w:t xml:space="preserve"> </w:t>
      </w:r>
      <w:r>
        <w:rPr>
          <w:rFonts w:ascii="宋体" w:hAnsi="宋体" w:eastAsia="宋体" w:cs="宋体"/>
          <w:spacing w:val="-4"/>
          <w:sz w:val="24"/>
          <w:szCs w:val="24"/>
          <w:highlight w:val="none"/>
        </w:rPr>
        <w:t>年</w:t>
      </w:r>
      <w:r>
        <w:rPr>
          <w:rFonts w:ascii="宋体" w:hAnsi="宋体" w:eastAsia="宋体" w:cs="宋体"/>
          <w:spacing w:val="63"/>
          <w:sz w:val="24"/>
          <w:szCs w:val="24"/>
          <w:highlight w:val="none"/>
        </w:rPr>
        <w:t xml:space="preserve"> </w:t>
      </w:r>
      <w:r>
        <w:rPr>
          <w:rFonts w:ascii="Times New Roman" w:hAnsi="Times New Roman" w:eastAsia="Times New Roman" w:cs="Times New Roman"/>
          <w:spacing w:val="-4"/>
          <w:position w:val="3"/>
          <w:sz w:val="24"/>
          <w:szCs w:val="24"/>
          <w:highlight w:val="none"/>
          <w:u w:val="single" w:color="auto"/>
        </w:rPr>
        <w:t xml:space="preserve">    4    </w:t>
      </w:r>
      <w:r>
        <w:rPr>
          <w:rFonts w:ascii="宋体" w:hAnsi="宋体" w:eastAsia="宋体" w:cs="宋体"/>
          <w:spacing w:val="-4"/>
          <w:position w:val="3"/>
          <w:sz w:val="24"/>
          <w:szCs w:val="24"/>
          <w:highlight w:val="none"/>
        </w:rPr>
        <w:t xml:space="preserve">月 </w:t>
      </w:r>
      <w:r>
        <w:rPr>
          <w:rFonts w:ascii="Times New Roman" w:hAnsi="Times New Roman" w:eastAsia="Times New Roman" w:cs="Times New Roman"/>
          <w:spacing w:val="-4"/>
          <w:position w:val="1"/>
          <w:sz w:val="17"/>
          <w:szCs w:val="17"/>
          <w:highlight w:val="none"/>
          <w:u w:val="single" w:color="auto"/>
        </w:rPr>
        <w:t xml:space="preserve">       </w:t>
      </w:r>
      <w:r>
        <w:rPr>
          <w:rFonts w:ascii="Times New Roman" w:hAnsi="Times New Roman" w:eastAsia="Times New Roman" w:cs="Times New Roman"/>
          <w:spacing w:val="-4"/>
          <w:position w:val="3"/>
          <w:sz w:val="24"/>
          <w:szCs w:val="24"/>
          <w:highlight w:val="none"/>
          <w:u w:val="single" w:color="auto"/>
        </w:rPr>
        <w:t xml:space="preserve"> </w:t>
      </w:r>
      <w:r>
        <w:rPr>
          <w:rFonts w:hint="default" w:ascii="Times New Roman" w:hAnsi="Times New Roman" w:eastAsia="Times New Roman" w:cs="Times New Roman"/>
          <w:spacing w:val="-4"/>
          <w:position w:val="3"/>
          <w:sz w:val="24"/>
          <w:szCs w:val="24"/>
          <w:highlight w:val="none"/>
          <w:u w:val="single" w:color="auto"/>
          <w:lang w:val="en-US" w:eastAsia="zh-CN"/>
        </w:rPr>
        <w:t>7</w:t>
      </w:r>
      <w:r>
        <w:rPr>
          <w:rFonts w:ascii="Times New Roman" w:hAnsi="Times New Roman" w:eastAsia="Times New Roman" w:cs="Times New Roman"/>
          <w:spacing w:val="-4"/>
          <w:position w:val="3"/>
          <w:sz w:val="24"/>
          <w:szCs w:val="24"/>
          <w:highlight w:val="none"/>
          <w:u w:val="single" w:color="auto"/>
        </w:rPr>
        <w:t xml:space="preserve">    </w:t>
      </w:r>
      <w:r>
        <w:rPr>
          <w:rFonts w:ascii="宋体" w:hAnsi="宋体" w:eastAsia="宋体" w:cs="宋体"/>
          <w:spacing w:val="-4"/>
          <w:sz w:val="19"/>
          <w:szCs w:val="19"/>
          <w:highlight w:val="none"/>
        </w:rPr>
        <w:t>日</w:t>
      </w:r>
    </w:p>
    <w:p w14:paraId="5B334ED5">
      <w:pPr>
        <w:spacing w:line="224" w:lineRule="auto"/>
        <w:rPr>
          <w:rFonts w:ascii="宋体" w:hAnsi="宋体" w:eastAsia="宋体" w:cs="宋体"/>
          <w:sz w:val="19"/>
          <w:szCs w:val="19"/>
          <w:highlight w:val="none"/>
        </w:rPr>
        <w:sectPr>
          <w:footerReference r:id="rId8" w:type="default"/>
          <w:pgSz w:w="11900" w:h="16830"/>
          <w:pgMar w:top="400" w:right="1785" w:bottom="400" w:left="1785" w:header="0" w:footer="0" w:gutter="0"/>
          <w:pgNumType w:fmt="numberInDash"/>
          <w:cols w:space="720" w:num="1"/>
        </w:sectPr>
      </w:pPr>
    </w:p>
    <w:p w14:paraId="26576497">
      <w:pPr>
        <w:spacing w:line="278" w:lineRule="auto"/>
        <w:rPr>
          <w:rFonts w:ascii="Arial"/>
          <w:sz w:val="21"/>
          <w:highlight w:val="none"/>
        </w:rPr>
      </w:pPr>
    </w:p>
    <w:p w14:paraId="1DA7B7B2">
      <w:pPr>
        <w:spacing w:line="279" w:lineRule="auto"/>
        <w:rPr>
          <w:rFonts w:ascii="Arial"/>
          <w:sz w:val="21"/>
          <w:highlight w:val="none"/>
        </w:rPr>
      </w:pPr>
    </w:p>
    <w:p w14:paraId="6C722561">
      <w:pPr>
        <w:spacing w:line="279" w:lineRule="auto"/>
        <w:rPr>
          <w:rFonts w:ascii="Arial"/>
          <w:sz w:val="21"/>
          <w:highlight w:val="none"/>
        </w:rPr>
      </w:pPr>
    </w:p>
    <w:p w14:paraId="601E8EA7">
      <w:pPr>
        <w:spacing w:line="279" w:lineRule="auto"/>
        <w:rPr>
          <w:rFonts w:ascii="Arial"/>
          <w:sz w:val="21"/>
          <w:highlight w:val="none"/>
        </w:rPr>
      </w:pPr>
    </w:p>
    <w:p w14:paraId="53DA62DC">
      <w:pPr>
        <w:spacing w:before="78" w:line="220" w:lineRule="auto"/>
        <w:ind w:left="145"/>
        <w:rPr>
          <w:rFonts w:ascii="宋体" w:hAnsi="宋体" w:eastAsia="宋体" w:cs="宋体"/>
          <w:sz w:val="24"/>
          <w:szCs w:val="24"/>
          <w:highlight w:val="none"/>
        </w:rPr>
      </w:pPr>
      <w:r>
        <w:rPr>
          <w:highlight w:val="none"/>
        </w:rPr>
        <w:drawing>
          <wp:anchor distT="0" distB="0" distL="0" distR="0" simplePos="0" relativeHeight="251662336" behindDoc="1" locked="0" layoutInCell="1" allowOverlap="1">
            <wp:simplePos x="0" y="0"/>
            <wp:positionH relativeFrom="column">
              <wp:posOffset>6184900</wp:posOffset>
            </wp:positionH>
            <wp:positionV relativeFrom="paragraph">
              <wp:posOffset>4888865</wp:posOffset>
            </wp:positionV>
            <wp:extent cx="24130" cy="12700"/>
            <wp:effectExtent l="0" t="0" r="0" b="0"/>
            <wp:wrapNone/>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12"/>
                    <a:stretch>
                      <a:fillRect/>
                    </a:stretch>
                  </pic:blipFill>
                  <pic:spPr>
                    <a:xfrm>
                      <a:off x="0" y="0"/>
                      <a:ext cx="23905" cy="12510"/>
                    </a:xfrm>
                    <a:prstGeom prst="rect">
                      <a:avLst/>
                    </a:prstGeom>
                  </pic:spPr>
                </pic:pic>
              </a:graphicData>
            </a:graphic>
          </wp:anchor>
        </w:drawing>
      </w:r>
      <w:r>
        <w:rPr>
          <w:rFonts w:ascii="宋体" w:hAnsi="宋体" w:eastAsia="宋体" w:cs="宋体"/>
          <w:spacing w:val="-6"/>
          <w:sz w:val="24"/>
          <w:szCs w:val="24"/>
          <w:highlight w:val="none"/>
        </w:rPr>
        <w:t>一</w:t>
      </w:r>
      <w:r>
        <w:rPr>
          <w:rFonts w:ascii="宋体" w:hAnsi="宋体" w:eastAsia="宋体" w:cs="宋体"/>
          <w:spacing w:val="-56"/>
          <w:sz w:val="24"/>
          <w:szCs w:val="24"/>
          <w:highlight w:val="none"/>
        </w:rPr>
        <w:t xml:space="preserve"> </w:t>
      </w:r>
      <w:r>
        <w:rPr>
          <w:rFonts w:ascii="宋体" w:hAnsi="宋体" w:eastAsia="宋体" w:cs="宋体"/>
          <w:spacing w:val="-6"/>
          <w:sz w:val="24"/>
          <w:szCs w:val="24"/>
          <w:highlight w:val="none"/>
        </w:rPr>
        <w:t>、专家评分汇总表</w:t>
      </w:r>
    </w:p>
    <w:p w14:paraId="41AB8336">
      <w:pPr>
        <w:spacing w:line="208" w:lineRule="exact"/>
        <w:rPr>
          <w:highlight w:val="none"/>
        </w:rPr>
      </w:pPr>
    </w:p>
    <w:tbl>
      <w:tblPr>
        <w:tblStyle w:val="6"/>
        <w:tblW w:w="8679" w:type="dxa"/>
        <w:tblInd w:w="3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23"/>
        <w:gridCol w:w="2737"/>
        <w:gridCol w:w="2317"/>
        <w:gridCol w:w="2602"/>
      </w:tblGrid>
      <w:tr w14:paraId="2C8BF6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5" w:hRule="atLeast"/>
        </w:trPr>
        <w:tc>
          <w:tcPr>
            <w:tcW w:w="1023" w:type="dxa"/>
            <w:vAlign w:val="top"/>
          </w:tcPr>
          <w:p w14:paraId="5DF476C8">
            <w:pPr>
              <w:rPr>
                <w:rFonts w:ascii="Arial"/>
                <w:sz w:val="21"/>
                <w:highlight w:val="none"/>
              </w:rPr>
            </w:pPr>
          </w:p>
        </w:tc>
        <w:tc>
          <w:tcPr>
            <w:tcW w:w="7656" w:type="dxa"/>
            <w:gridSpan w:val="3"/>
            <w:vAlign w:val="top"/>
          </w:tcPr>
          <w:p w14:paraId="04D7E547">
            <w:pPr>
              <w:pStyle w:val="7"/>
              <w:spacing w:before="68" w:line="218" w:lineRule="auto"/>
              <w:ind w:left="3125"/>
              <w:rPr>
                <w:sz w:val="21"/>
                <w:szCs w:val="21"/>
                <w:highlight w:val="none"/>
              </w:rPr>
            </w:pPr>
            <w:r>
              <w:rPr>
                <w:b/>
                <w:bCs/>
                <w:spacing w:val="-4"/>
                <w:sz w:val="21"/>
                <w:szCs w:val="21"/>
                <w:highlight w:val="none"/>
              </w:rPr>
              <w:t>评价指标及分值</w:t>
            </w:r>
          </w:p>
        </w:tc>
      </w:tr>
      <w:tr w14:paraId="2E1038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23" w:type="dxa"/>
            <w:vAlign w:val="top"/>
          </w:tcPr>
          <w:p w14:paraId="71782490">
            <w:pPr>
              <w:rPr>
                <w:rFonts w:ascii="Arial"/>
                <w:sz w:val="21"/>
                <w:highlight w:val="none"/>
              </w:rPr>
            </w:pPr>
          </w:p>
        </w:tc>
        <w:tc>
          <w:tcPr>
            <w:tcW w:w="2737" w:type="dxa"/>
            <w:vAlign w:val="top"/>
          </w:tcPr>
          <w:p w14:paraId="638A4B99">
            <w:pPr>
              <w:pStyle w:val="7"/>
              <w:spacing w:before="53" w:line="218" w:lineRule="auto"/>
              <w:ind w:left="944"/>
              <w:rPr>
                <w:sz w:val="21"/>
                <w:szCs w:val="21"/>
                <w:highlight w:val="none"/>
              </w:rPr>
            </w:pPr>
            <w:r>
              <w:rPr>
                <w:b/>
                <w:bCs/>
                <w:spacing w:val="-4"/>
                <w:sz w:val="21"/>
                <w:szCs w:val="21"/>
                <w:highlight w:val="none"/>
              </w:rPr>
              <w:t>评价指标</w:t>
            </w:r>
          </w:p>
        </w:tc>
        <w:tc>
          <w:tcPr>
            <w:tcW w:w="2317" w:type="dxa"/>
            <w:vAlign w:val="top"/>
          </w:tcPr>
          <w:p w14:paraId="4CC15440">
            <w:pPr>
              <w:pStyle w:val="7"/>
              <w:spacing w:before="55" w:line="219" w:lineRule="auto"/>
              <w:ind w:left="947"/>
              <w:rPr>
                <w:sz w:val="21"/>
                <w:szCs w:val="21"/>
                <w:highlight w:val="none"/>
              </w:rPr>
            </w:pPr>
            <w:r>
              <w:rPr>
                <w:b/>
                <w:bCs/>
                <w:spacing w:val="-5"/>
                <w:sz w:val="21"/>
                <w:szCs w:val="21"/>
                <w:highlight w:val="none"/>
              </w:rPr>
              <w:t>分值</w:t>
            </w:r>
          </w:p>
        </w:tc>
        <w:tc>
          <w:tcPr>
            <w:tcW w:w="2602" w:type="dxa"/>
            <w:vAlign w:val="top"/>
          </w:tcPr>
          <w:p w14:paraId="7ECF7DCA">
            <w:pPr>
              <w:pStyle w:val="7"/>
              <w:spacing w:before="58" w:line="219" w:lineRule="auto"/>
              <w:ind w:left="1087"/>
              <w:rPr>
                <w:sz w:val="21"/>
                <w:szCs w:val="21"/>
                <w:highlight w:val="none"/>
              </w:rPr>
            </w:pPr>
            <w:r>
              <w:rPr>
                <w:spacing w:val="-3"/>
                <w:sz w:val="21"/>
                <w:szCs w:val="21"/>
                <w:highlight w:val="none"/>
              </w:rPr>
              <w:t>得分</w:t>
            </w:r>
          </w:p>
        </w:tc>
      </w:tr>
      <w:tr w14:paraId="1FE5A2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trPr>
        <w:tc>
          <w:tcPr>
            <w:tcW w:w="1023" w:type="dxa"/>
            <w:vMerge w:val="restart"/>
            <w:tcBorders>
              <w:bottom w:val="nil"/>
            </w:tcBorders>
            <w:vAlign w:val="top"/>
          </w:tcPr>
          <w:p w14:paraId="067F487A">
            <w:pPr>
              <w:spacing w:line="277" w:lineRule="auto"/>
              <w:rPr>
                <w:rFonts w:ascii="Arial"/>
                <w:sz w:val="21"/>
                <w:highlight w:val="none"/>
              </w:rPr>
            </w:pPr>
          </w:p>
          <w:p w14:paraId="07740E81">
            <w:pPr>
              <w:spacing w:line="278" w:lineRule="auto"/>
              <w:rPr>
                <w:rFonts w:ascii="Arial"/>
                <w:sz w:val="21"/>
                <w:highlight w:val="none"/>
              </w:rPr>
            </w:pPr>
          </w:p>
          <w:p w14:paraId="0E6876AD">
            <w:pPr>
              <w:spacing w:line="278" w:lineRule="auto"/>
              <w:rPr>
                <w:rFonts w:ascii="Arial"/>
                <w:sz w:val="21"/>
                <w:highlight w:val="none"/>
              </w:rPr>
            </w:pPr>
          </w:p>
          <w:p w14:paraId="1D1C9CE0">
            <w:pPr>
              <w:spacing w:line="278" w:lineRule="auto"/>
              <w:rPr>
                <w:rFonts w:ascii="Arial"/>
                <w:sz w:val="21"/>
                <w:highlight w:val="none"/>
              </w:rPr>
            </w:pPr>
          </w:p>
          <w:p w14:paraId="3988CD58">
            <w:pPr>
              <w:spacing w:line="278" w:lineRule="auto"/>
              <w:rPr>
                <w:rFonts w:ascii="Arial"/>
                <w:sz w:val="21"/>
                <w:highlight w:val="none"/>
              </w:rPr>
            </w:pPr>
          </w:p>
          <w:p w14:paraId="79D58C40">
            <w:pPr>
              <w:pStyle w:val="7"/>
              <w:spacing w:before="69" w:line="219" w:lineRule="auto"/>
              <w:ind w:left="298"/>
              <w:rPr>
                <w:sz w:val="21"/>
                <w:szCs w:val="21"/>
                <w:highlight w:val="none"/>
              </w:rPr>
            </w:pPr>
            <w:r>
              <w:rPr>
                <w:b/>
                <w:bCs/>
                <w:spacing w:val="-6"/>
                <w:sz w:val="21"/>
                <w:szCs w:val="21"/>
                <w:highlight w:val="none"/>
              </w:rPr>
              <w:t>决策</w:t>
            </w:r>
          </w:p>
        </w:tc>
        <w:tc>
          <w:tcPr>
            <w:tcW w:w="2737" w:type="dxa"/>
            <w:vAlign w:val="top"/>
          </w:tcPr>
          <w:p w14:paraId="7B0C8D5B">
            <w:pPr>
              <w:pStyle w:val="7"/>
              <w:spacing w:before="70" w:line="220" w:lineRule="auto"/>
              <w:ind w:left="81"/>
              <w:rPr>
                <w:sz w:val="21"/>
                <w:szCs w:val="21"/>
                <w:highlight w:val="none"/>
              </w:rPr>
            </w:pPr>
            <w:r>
              <w:rPr>
                <w:spacing w:val="3"/>
                <w:sz w:val="21"/>
                <w:szCs w:val="21"/>
                <w:highlight w:val="none"/>
              </w:rPr>
              <w:t>项目立项</w:t>
            </w:r>
          </w:p>
        </w:tc>
        <w:tc>
          <w:tcPr>
            <w:tcW w:w="2317" w:type="dxa"/>
            <w:vAlign w:val="top"/>
          </w:tcPr>
          <w:p w14:paraId="686A68DB">
            <w:pPr>
              <w:pStyle w:val="7"/>
              <w:spacing w:before="90" w:line="219" w:lineRule="auto"/>
              <w:ind w:left="1094"/>
              <w:rPr>
                <w:sz w:val="21"/>
                <w:szCs w:val="21"/>
                <w:highlight w:val="none"/>
              </w:rPr>
            </w:pPr>
            <w:r>
              <w:rPr>
                <w:sz w:val="21"/>
                <w:szCs w:val="21"/>
                <w:highlight w:val="none"/>
              </w:rPr>
              <w:t>3</w:t>
            </w:r>
          </w:p>
        </w:tc>
        <w:tc>
          <w:tcPr>
            <w:tcW w:w="2602" w:type="dxa"/>
            <w:vAlign w:val="top"/>
          </w:tcPr>
          <w:p w14:paraId="21D871E7">
            <w:pPr>
              <w:pStyle w:val="7"/>
              <w:spacing w:before="90" w:line="219" w:lineRule="auto"/>
              <w:ind w:left="1137"/>
              <w:rPr>
                <w:sz w:val="21"/>
                <w:szCs w:val="21"/>
                <w:highlight w:val="none"/>
              </w:rPr>
            </w:pPr>
            <w:r>
              <w:rPr>
                <w:spacing w:val="-3"/>
                <w:sz w:val="21"/>
                <w:szCs w:val="21"/>
                <w:highlight w:val="none"/>
              </w:rPr>
              <w:t>2.6</w:t>
            </w:r>
          </w:p>
        </w:tc>
      </w:tr>
      <w:tr w14:paraId="7A08B8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23" w:type="dxa"/>
            <w:vMerge w:val="continue"/>
            <w:tcBorders>
              <w:top w:val="nil"/>
              <w:bottom w:val="nil"/>
            </w:tcBorders>
            <w:vAlign w:val="top"/>
          </w:tcPr>
          <w:p w14:paraId="63815085">
            <w:pPr>
              <w:rPr>
                <w:rFonts w:ascii="Arial"/>
                <w:sz w:val="21"/>
                <w:highlight w:val="none"/>
              </w:rPr>
            </w:pPr>
          </w:p>
        </w:tc>
        <w:tc>
          <w:tcPr>
            <w:tcW w:w="2737" w:type="dxa"/>
            <w:vAlign w:val="top"/>
          </w:tcPr>
          <w:p w14:paraId="75D65D7C">
            <w:pPr>
              <w:pStyle w:val="7"/>
              <w:spacing w:before="58" w:line="219" w:lineRule="auto"/>
              <w:ind w:left="621"/>
              <w:rPr>
                <w:sz w:val="21"/>
                <w:szCs w:val="21"/>
                <w:highlight w:val="none"/>
              </w:rPr>
            </w:pPr>
            <w:r>
              <w:rPr>
                <w:spacing w:val="-2"/>
                <w:sz w:val="21"/>
                <w:szCs w:val="21"/>
                <w:highlight w:val="none"/>
              </w:rPr>
              <w:t>立项依据充分性</w:t>
            </w:r>
          </w:p>
        </w:tc>
        <w:tc>
          <w:tcPr>
            <w:tcW w:w="2317" w:type="dxa"/>
            <w:vAlign w:val="top"/>
          </w:tcPr>
          <w:p w14:paraId="282F1C6B">
            <w:pPr>
              <w:pStyle w:val="7"/>
              <w:spacing w:before="80" w:line="210" w:lineRule="auto"/>
              <w:ind w:left="1094"/>
              <w:rPr>
                <w:sz w:val="21"/>
                <w:szCs w:val="21"/>
                <w:highlight w:val="none"/>
              </w:rPr>
            </w:pPr>
            <w:r>
              <w:rPr>
                <w:sz w:val="21"/>
                <w:szCs w:val="21"/>
                <w:highlight w:val="none"/>
              </w:rPr>
              <w:t>2</w:t>
            </w:r>
          </w:p>
        </w:tc>
        <w:tc>
          <w:tcPr>
            <w:tcW w:w="2602" w:type="dxa"/>
            <w:vAlign w:val="top"/>
          </w:tcPr>
          <w:p w14:paraId="2AD194F0">
            <w:pPr>
              <w:pStyle w:val="7"/>
              <w:spacing w:before="80" w:line="210" w:lineRule="auto"/>
              <w:ind w:left="1137"/>
              <w:rPr>
                <w:sz w:val="21"/>
                <w:szCs w:val="21"/>
                <w:highlight w:val="none"/>
              </w:rPr>
            </w:pPr>
            <w:r>
              <w:rPr>
                <w:spacing w:val="-6"/>
                <w:sz w:val="21"/>
                <w:szCs w:val="21"/>
                <w:highlight w:val="none"/>
              </w:rPr>
              <w:t>1.8</w:t>
            </w:r>
          </w:p>
        </w:tc>
      </w:tr>
      <w:tr w14:paraId="4F05CE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trPr>
        <w:tc>
          <w:tcPr>
            <w:tcW w:w="1023" w:type="dxa"/>
            <w:vMerge w:val="continue"/>
            <w:tcBorders>
              <w:top w:val="nil"/>
              <w:bottom w:val="nil"/>
            </w:tcBorders>
            <w:vAlign w:val="top"/>
          </w:tcPr>
          <w:p w14:paraId="2249692B">
            <w:pPr>
              <w:rPr>
                <w:rFonts w:ascii="Arial"/>
                <w:sz w:val="21"/>
                <w:highlight w:val="none"/>
              </w:rPr>
            </w:pPr>
          </w:p>
        </w:tc>
        <w:tc>
          <w:tcPr>
            <w:tcW w:w="2737" w:type="dxa"/>
            <w:vAlign w:val="top"/>
          </w:tcPr>
          <w:p w14:paraId="697906EB">
            <w:pPr>
              <w:pStyle w:val="7"/>
              <w:spacing w:before="71" w:line="220" w:lineRule="auto"/>
              <w:ind w:left="621"/>
              <w:rPr>
                <w:sz w:val="21"/>
                <w:szCs w:val="21"/>
                <w:highlight w:val="none"/>
              </w:rPr>
            </w:pPr>
            <w:r>
              <w:rPr>
                <w:spacing w:val="-2"/>
                <w:sz w:val="21"/>
                <w:szCs w:val="21"/>
                <w:highlight w:val="none"/>
              </w:rPr>
              <w:t>立项程序规范性</w:t>
            </w:r>
          </w:p>
        </w:tc>
        <w:tc>
          <w:tcPr>
            <w:tcW w:w="2317" w:type="dxa"/>
            <w:vAlign w:val="top"/>
          </w:tcPr>
          <w:p w14:paraId="685A71CC">
            <w:pPr>
              <w:pStyle w:val="7"/>
              <w:spacing w:before="88" w:line="221" w:lineRule="auto"/>
              <w:ind w:left="1044"/>
              <w:rPr>
                <w:sz w:val="21"/>
                <w:szCs w:val="21"/>
                <w:highlight w:val="none"/>
              </w:rPr>
            </w:pPr>
            <w:r>
              <w:rPr>
                <w:sz w:val="21"/>
                <w:szCs w:val="21"/>
                <w:highlight w:val="none"/>
              </w:rPr>
              <w:t>工</w:t>
            </w:r>
          </w:p>
        </w:tc>
        <w:tc>
          <w:tcPr>
            <w:tcW w:w="2602" w:type="dxa"/>
            <w:vAlign w:val="top"/>
          </w:tcPr>
          <w:p w14:paraId="4397B54F">
            <w:pPr>
              <w:pStyle w:val="7"/>
              <w:spacing w:before="92" w:line="218" w:lineRule="auto"/>
              <w:ind w:left="1137"/>
              <w:rPr>
                <w:sz w:val="21"/>
                <w:szCs w:val="21"/>
                <w:highlight w:val="none"/>
              </w:rPr>
            </w:pPr>
            <w:r>
              <w:rPr>
                <w:spacing w:val="-3"/>
                <w:sz w:val="21"/>
                <w:szCs w:val="21"/>
                <w:highlight w:val="none"/>
              </w:rPr>
              <w:t>0.8</w:t>
            </w:r>
          </w:p>
        </w:tc>
      </w:tr>
      <w:tr w14:paraId="7724D7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23" w:type="dxa"/>
            <w:vMerge w:val="continue"/>
            <w:tcBorders>
              <w:top w:val="nil"/>
              <w:bottom w:val="nil"/>
            </w:tcBorders>
            <w:vAlign w:val="top"/>
          </w:tcPr>
          <w:p w14:paraId="006F1706">
            <w:pPr>
              <w:rPr>
                <w:rFonts w:ascii="Arial"/>
                <w:sz w:val="21"/>
                <w:highlight w:val="none"/>
              </w:rPr>
            </w:pPr>
          </w:p>
        </w:tc>
        <w:tc>
          <w:tcPr>
            <w:tcW w:w="2737" w:type="dxa"/>
            <w:vAlign w:val="top"/>
          </w:tcPr>
          <w:p w14:paraId="69AB1FFD">
            <w:pPr>
              <w:pStyle w:val="7"/>
              <w:spacing w:before="58" w:line="220" w:lineRule="auto"/>
              <w:ind w:left="84"/>
              <w:rPr>
                <w:sz w:val="21"/>
                <w:szCs w:val="21"/>
                <w:highlight w:val="none"/>
              </w:rPr>
            </w:pPr>
            <w:r>
              <w:rPr>
                <w:b/>
                <w:bCs/>
                <w:spacing w:val="-5"/>
                <w:sz w:val="21"/>
                <w:szCs w:val="21"/>
                <w:highlight w:val="none"/>
              </w:rPr>
              <w:t>绩效目标</w:t>
            </w:r>
          </w:p>
        </w:tc>
        <w:tc>
          <w:tcPr>
            <w:tcW w:w="2317" w:type="dxa"/>
            <w:vAlign w:val="top"/>
          </w:tcPr>
          <w:p w14:paraId="785919AA">
            <w:pPr>
              <w:pStyle w:val="7"/>
              <w:spacing w:before="81" w:line="209" w:lineRule="auto"/>
              <w:ind w:left="1094"/>
              <w:rPr>
                <w:sz w:val="21"/>
                <w:szCs w:val="21"/>
                <w:highlight w:val="none"/>
              </w:rPr>
            </w:pPr>
            <w:r>
              <w:rPr>
                <w:sz w:val="21"/>
                <w:szCs w:val="21"/>
                <w:highlight w:val="none"/>
              </w:rPr>
              <w:t>4</w:t>
            </w:r>
          </w:p>
        </w:tc>
        <w:tc>
          <w:tcPr>
            <w:tcW w:w="2602" w:type="dxa"/>
            <w:vAlign w:val="top"/>
          </w:tcPr>
          <w:p w14:paraId="091BF2B3">
            <w:pPr>
              <w:pStyle w:val="7"/>
              <w:spacing w:before="81" w:line="209" w:lineRule="auto"/>
              <w:ind w:left="1237"/>
              <w:rPr>
                <w:sz w:val="21"/>
                <w:szCs w:val="21"/>
                <w:highlight w:val="none"/>
              </w:rPr>
            </w:pPr>
            <w:r>
              <w:rPr>
                <w:sz w:val="21"/>
                <w:szCs w:val="21"/>
                <w:highlight w:val="none"/>
              </w:rPr>
              <w:t>3</w:t>
            </w:r>
          </w:p>
        </w:tc>
      </w:tr>
      <w:tr w14:paraId="65A1BE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023" w:type="dxa"/>
            <w:vMerge w:val="continue"/>
            <w:tcBorders>
              <w:top w:val="nil"/>
              <w:bottom w:val="nil"/>
            </w:tcBorders>
            <w:vAlign w:val="top"/>
          </w:tcPr>
          <w:p w14:paraId="1D59A070">
            <w:pPr>
              <w:rPr>
                <w:rFonts w:ascii="Arial"/>
                <w:sz w:val="21"/>
                <w:highlight w:val="none"/>
              </w:rPr>
            </w:pPr>
          </w:p>
        </w:tc>
        <w:tc>
          <w:tcPr>
            <w:tcW w:w="2737" w:type="dxa"/>
            <w:vAlign w:val="top"/>
          </w:tcPr>
          <w:p w14:paraId="4C46523A">
            <w:pPr>
              <w:pStyle w:val="7"/>
              <w:spacing w:before="72" w:line="220" w:lineRule="auto"/>
              <w:ind w:left="621"/>
              <w:rPr>
                <w:sz w:val="21"/>
                <w:szCs w:val="21"/>
                <w:highlight w:val="none"/>
              </w:rPr>
            </w:pPr>
            <w:r>
              <w:rPr>
                <w:spacing w:val="-2"/>
                <w:sz w:val="21"/>
                <w:szCs w:val="21"/>
                <w:highlight w:val="none"/>
              </w:rPr>
              <w:t>绩效目标合理性</w:t>
            </w:r>
          </w:p>
        </w:tc>
        <w:tc>
          <w:tcPr>
            <w:tcW w:w="2317" w:type="dxa"/>
            <w:vAlign w:val="top"/>
          </w:tcPr>
          <w:p w14:paraId="53CD29A4">
            <w:pPr>
              <w:pStyle w:val="7"/>
              <w:spacing w:before="92" w:line="209" w:lineRule="auto"/>
              <w:ind w:left="1094"/>
              <w:rPr>
                <w:sz w:val="21"/>
                <w:szCs w:val="21"/>
                <w:highlight w:val="none"/>
              </w:rPr>
            </w:pPr>
            <w:r>
              <w:rPr>
                <w:sz w:val="21"/>
                <w:szCs w:val="21"/>
                <w:highlight w:val="none"/>
              </w:rPr>
              <w:t>2</w:t>
            </w:r>
          </w:p>
        </w:tc>
        <w:tc>
          <w:tcPr>
            <w:tcW w:w="2602" w:type="dxa"/>
            <w:vAlign w:val="top"/>
          </w:tcPr>
          <w:p w14:paraId="396725C5">
            <w:pPr>
              <w:pStyle w:val="7"/>
              <w:spacing w:before="92" w:line="209" w:lineRule="auto"/>
              <w:ind w:left="1137"/>
              <w:rPr>
                <w:sz w:val="21"/>
                <w:szCs w:val="21"/>
                <w:highlight w:val="none"/>
              </w:rPr>
            </w:pPr>
            <w:r>
              <w:rPr>
                <w:spacing w:val="-6"/>
                <w:sz w:val="21"/>
                <w:szCs w:val="21"/>
                <w:highlight w:val="none"/>
              </w:rPr>
              <w:t>1.6</w:t>
            </w:r>
          </w:p>
        </w:tc>
      </w:tr>
      <w:tr w14:paraId="4D5B66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trPr>
        <w:tc>
          <w:tcPr>
            <w:tcW w:w="1023" w:type="dxa"/>
            <w:vMerge w:val="continue"/>
            <w:tcBorders>
              <w:top w:val="nil"/>
              <w:bottom w:val="nil"/>
            </w:tcBorders>
            <w:vAlign w:val="top"/>
          </w:tcPr>
          <w:p w14:paraId="3122D797">
            <w:pPr>
              <w:rPr>
                <w:rFonts w:ascii="Arial"/>
                <w:sz w:val="21"/>
                <w:highlight w:val="none"/>
              </w:rPr>
            </w:pPr>
          </w:p>
        </w:tc>
        <w:tc>
          <w:tcPr>
            <w:tcW w:w="2737" w:type="dxa"/>
            <w:vAlign w:val="top"/>
          </w:tcPr>
          <w:p w14:paraId="139C4CE7">
            <w:pPr>
              <w:pStyle w:val="7"/>
              <w:spacing w:before="71" w:line="219" w:lineRule="auto"/>
              <w:ind w:left="621"/>
              <w:rPr>
                <w:sz w:val="21"/>
                <w:szCs w:val="21"/>
                <w:highlight w:val="none"/>
              </w:rPr>
            </w:pPr>
            <w:r>
              <w:rPr>
                <w:spacing w:val="-2"/>
                <w:sz w:val="21"/>
                <w:szCs w:val="21"/>
                <w:highlight w:val="none"/>
              </w:rPr>
              <w:t>绩效指标明确性</w:t>
            </w:r>
          </w:p>
        </w:tc>
        <w:tc>
          <w:tcPr>
            <w:tcW w:w="2317" w:type="dxa"/>
            <w:vAlign w:val="top"/>
          </w:tcPr>
          <w:p w14:paraId="7B429B23">
            <w:pPr>
              <w:pStyle w:val="7"/>
              <w:spacing w:before="93" w:line="217" w:lineRule="auto"/>
              <w:ind w:left="1094"/>
              <w:rPr>
                <w:sz w:val="21"/>
                <w:szCs w:val="21"/>
                <w:highlight w:val="none"/>
              </w:rPr>
            </w:pPr>
            <w:r>
              <w:rPr>
                <w:sz w:val="21"/>
                <w:szCs w:val="21"/>
                <w:highlight w:val="none"/>
              </w:rPr>
              <w:t>2</w:t>
            </w:r>
          </w:p>
        </w:tc>
        <w:tc>
          <w:tcPr>
            <w:tcW w:w="2602" w:type="dxa"/>
            <w:vAlign w:val="top"/>
          </w:tcPr>
          <w:p w14:paraId="12BB8D1A">
            <w:pPr>
              <w:pStyle w:val="7"/>
              <w:spacing w:before="93" w:line="217" w:lineRule="auto"/>
              <w:ind w:left="1137"/>
              <w:rPr>
                <w:sz w:val="21"/>
                <w:szCs w:val="21"/>
                <w:highlight w:val="none"/>
              </w:rPr>
            </w:pPr>
            <w:r>
              <w:rPr>
                <w:spacing w:val="-6"/>
                <w:sz w:val="21"/>
                <w:szCs w:val="21"/>
                <w:highlight w:val="none"/>
              </w:rPr>
              <w:t>1.4</w:t>
            </w:r>
          </w:p>
        </w:tc>
      </w:tr>
      <w:tr w14:paraId="4DCFAB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23" w:type="dxa"/>
            <w:vMerge w:val="continue"/>
            <w:tcBorders>
              <w:top w:val="nil"/>
              <w:bottom w:val="nil"/>
            </w:tcBorders>
            <w:vAlign w:val="top"/>
          </w:tcPr>
          <w:p w14:paraId="3A1DBB01">
            <w:pPr>
              <w:rPr>
                <w:rFonts w:ascii="Arial"/>
                <w:sz w:val="21"/>
                <w:highlight w:val="none"/>
              </w:rPr>
            </w:pPr>
          </w:p>
        </w:tc>
        <w:tc>
          <w:tcPr>
            <w:tcW w:w="2737" w:type="dxa"/>
            <w:vAlign w:val="top"/>
          </w:tcPr>
          <w:p w14:paraId="25FA22A3">
            <w:pPr>
              <w:pStyle w:val="7"/>
              <w:spacing w:before="59" w:line="220" w:lineRule="auto"/>
              <w:ind w:left="74"/>
              <w:rPr>
                <w:sz w:val="21"/>
                <w:szCs w:val="21"/>
                <w:highlight w:val="none"/>
              </w:rPr>
            </w:pPr>
            <w:r>
              <w:rPr>
                <w:b/>
                <w:bCs/>
                <w:spacing w:val="-2"/>
                <w:sz w:val="21"/>
                <w:szCs w:val="21"/>
                <w:highlight w:val="none"/>
              </w:rPr>
              <w:t>资金投入</w:t>
            </w:r>
          </w:p>
        </w:tc>
        <w:tc>
          <w:tcPr>
            <w:tcW w:w="2317" w:type="dxa"/>
            <w:vAlign w:val="top"/>
          </w:tcPr>
          <w:p w14:paraId="74FF5878">
            <w:pPr>
              <w:pStyle w:val="7"/>
              <w:spacing w:before="82" w:line="208" w:lineRule="auto"/>
              <w:ind w:left="1094"/>
              <w:rPr>
                <w:sz w:val="21"/>
                <w:szCs w:val="21"/>
                <w:highlight w:val="none"/>
              </w:rPr>
            </w:pPr>
            <w:r>
              <w:rPr>
                <w:sz w:val="21"/>
                <w:szCs w:val="21"/>
                <w:highlight w:val="none"/>
              </w:rPr>
              <w:t>3</w:t>
            </w:r>
          </w:p>
        </w:tc>
        <w:tc>
          <w:tcPr>
            <w:tcW w:w="2602" w:type="dxa"/>
            <w:vAlign w:val="top"/>
          </w:tcPr>
          <w:p w14:paraId="355B3CD6">
            <w:pPr>
              <w:pStyle w:val="7"/>
              <w:spacing w:before="82" w:line="208" w:lineRule="auto"/>
              <w:ind w:left="1087"/>
              <w:rPr>
                <w:sz w:val="21"/>
                <w:szCs w:val="21"/>
                <w:highlight w:val="none"/>
              </w:rPr>
            </w:pPr>
            <w:r>
              <w:rPr>
                <w:spacing w:val="-3"/>
                <w:sz w:val="21"/>
                <w:szCs w:val="21"/>
                <w:highlight w:val="none"/>
              </w:rPr>
              <w:t>2.48</w:t>
            </w:r>
          </w:p>
        </w:tc>
      </w:tr>
      <w:tr w14:paraId="2250A8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trPr>
        <w:tc>
          <w:tcPr>
            <w:tcW w:w="1023" w:type="dxa"/>
            <w:vMerge w:val="continue"/>
            <w:tcBorders>
              <w:top w:val="nil"/>
              <w:bottom w:val="nil"/>
            </w:tcBorders>
            <w:vAlign w:val="top"/>
          </w:tcPr>
          <w:p w14:paraId="55717345">
            <w:pPr>
              <w:rPr>
                <w:rFonts w:ascii="Arial"/>
                <w:sz w:val="21"/>
                <w:highlight w:val="none"/>
              </w:rPr>
            </w:pPr>
          </w:p>
        </w:tc>
        <w:tc>
          <w:tcPr>
            <w:tcW w:w="2737" w:type="dxa"/>
            <w:vAlign w:val="top"/>
          </w:tcPr>
          <w:p w14:paraId="1D71C7B7">
            <w:pPr>
              <w:pStyle w:val="7"/>
              <w:spacing w:before="71" w:line="219" w:lineRule="auto"/>
              <w:ind w:left="621"/>
              <w:rPr>
                <w:sz w:val="21"/>
                <w:szCs w:val="21"/>
                <w:highlight w:val="none"/>
              </w:rPr>
            </w:pPr>
            <w:r>
              <w:rPr>
                <w:spacing w:val="-2"/>
                <w:sz w:val="21"/>
                <w:szCs w:val="21"/>
                <w:highlight w:val="none"/>
              </w:rPr>
              <w:t>预算编制科学性</w:t>
            </w:r>
          </w:p>
        </w:tc>
        <w:tc>
          <w:tcPr>
            <w:tcW w:w="2317" w:type="dxa"/>
            <w:vAlign w:val="top"/>
          </w:tcPr>
          <w:p w14:paraId="65E38F13">
            <w:pPr>
              <w:pStyle w:val="7"/>
              <w:spacing w:before="93" w:line="217" w:lineRule="auto"/>
              <w:ind w:left="1094"/>
              <w:rPr>
                <w:sz w:val="21"/>
                <w:szCs w:val="21"/>
                <w:highlight w:val="none"/>
              </w:rPr>
            </w:pPr>
            <w:r>
              <w:rPr>
                <w:sz w:val="21"/>
                <w:szCs w:val="21"/>
                <w:highlight w:val="none"/>
              </w:rPr>
              <w:t>2</w:t>
            </w:r>
          </w:p>
        </w:tc>
        <w:tc>
          <w:tcPr>
            <w:tcW w:w="2602" w:type="dxa"/>
            <w:vAlign w:val="top"/>
          </w:tcPr>
          <w:p w14:paraId="7EEA6281">
            <w:pPr>
              <w:pStyle w:val="7"/>
              <w:spacing w:before="93" w:line="217" w:lineRule="auto"/>
              <w:ind w:left="1137"/>
              <w:rPr>
                <w:sz w:val="21"/>
                <w:szCs w:val="21"/>
                <w:highlight w:val="none"/>
              </w:rPr>
            </w:pPr>
            <w:r>
              <w:rPr>
                <w:spacing w:val="-6"/>
                <w:sz w:val="21"/>
                <w:szCs w:val="21"/>
                <w:highlight w:val="none"/>
              </w:rPr>
              <w:t>1.5</w:t>
            </w:r>
          </w:p>
        </w:tc>
      </w:tr>
      <w:tr w14:paraId="7F700D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023" w:type="dxa"/>
            <w:vMerge w:val="continue"/>
            <w:tcBorders>
              <w:top w:val="nil"/>
            </w:tcBorders>
            <w:vAlign w:val="top"/>
          </w:tcPr>
          <w:p w14:paraId="0EF7B11F">
            <w:pPr>
              <w:rPr>
                <w:rFonts w:ascii="Arial"/>
                <w:sz w:val="21"/>
                <w:highlight w:val="none"/>
              </w:rPr>
            </w:pPr>
          </w:p>
        </w:tc>
        <w:tc>
          <w:tcPr>
            <w:tcW w:w="2737" w:type="dxa"/>
            <w:vAlign w:val="top"/>
          </w:tcPr>
          <w:p w14:paraId="7C4DAF6D">
            <w:pPr>
              <w:pStyle w:val="7"/>
              <w:spacing w:before="73" w:line="220" w:lineRule="auto"/>
              <w:ind w:left="621"/>
              <w:rPr>
                <w:sz w:val="21"/>
                <w:szCs w:val="21"/>
                <w:highlight w:val="none"/>
              </w:rPr>
            </w:pPr>
            <w:r>
              <w:rPr>
                <w:spacing w:val="1"/>
                <w:sz w:val="21"/>
                <w:szCs w:val="21"/>
                <w:highlight w:val="none"/>
              </w:rPr>
              <w:t>资金分配合理性</w:t>
            </w:r>
          </w:p>
        </w:tc>
        <w:tc>
          <w:tcPr>
            <w:tcW w:w="2317" w:type="dxa"/>
            <w:vAlign w:val="top"/>
          </w:tcPr>
          <w:p w14:paraId="4CF3BC74">
            <w:pPr>
              <w:pStyle w:val="7"/>
              <w:spacing w:before="89" w:line="211" w:lineRule="auto"/>
              <w:ind w:left="1044"/>
              <w:rPr>
                <w:sz w:val="21"/>
                <w:szCs w:val="21"/>
                <w:highlight w:val="none"/>
              </w:rPr>
            </w:pPr>
            <w:r>
              <w:rPr>
                <w:sz w:val="21"/>
                <w:szCs w:val="21"/>
                <w:highlight w:val="none"/>
              </w:rPr>
              <w:t>工</w:t>
            </w:r>
          </w:p>
        </w:tc>
        <w:tc>
          <w:tcPr>
            <w:tcW w:w="2602" w:type="dxa"/>
            <w:vAlign w:val="top"/>
          </w:tcPr>
          <w:p w14:paraId="2C52458B">
            <w:pPr>
              <w:pStyle w:val="7"/>
              <w:spacing w:before="93" w:line="208" w:lineRule="auto"/>
              <w:ind w:left="1087"/>
              <w:rPr>
                <w:sz w:val="21"/>
                <w:szCs w:val="21"/>
                <w:highlight w:val="none"/>
              </w:rPr>
            </w:pPr>
            <w:r>
              <w:rPr>
                <w:spacing w:val="-2"/>
                <w:sz w:val="21"/>
                <w:szCs w:val="21"/>
                <w:highlight w:val="none"/>
              </w:rPr>
              <w:t>0.98</w:t>
            </w:r>
          </w:p>
        </w:tc>
      </w:tr>
      <w:tr w14:paraId="35A824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023" w:type="dxa"/>
            <w:vMerge w:val="restart"/>
            <w:tcBorders>
              <w:bottom w:val="nil"/>
            </w:tcBorders>
            <w:vAlign w:val="top"/>
          </w:tcPr>
          <w:p w14:paraId="51A743C8">
            <w:pPr>
              <w:spacing w:line="258" w:lineRule="auto"/>
              <w:rPr>
                <w:rFonts w:ascii="Arial"/>
                <w:sz w:val="21"/>
                <w:highlight w:val="none"/>
              </w:rPr>
            </w:pPr>
          </w:p>
          <w:p w14:paraId="53C94E79">
            <w:pPr>
              <w:spacing w:line="259" w:lineRule="auto"/>
              <w:rPr>
                <w:rFonts w:ascii="Arial"/>
                <w:sz w:val="21"/>
                <w:highlight w:val="none"/>
              </w:rPr>
            </w:pPr>
          </w:p>
          <w:p w14:paraId="20B03A01">
            <w:pPr>
              <w:spacing w:line="259" w:lineRule="auto"/>
              <w:rPr>
                <w:rFonts w:ascii="Arial"/>
                <w:sz w:val="21"/>
                <w:highlight w:val="none"/>
              </w:rPr>
            </w:pPr>
          </w:p>
          <w:p w14:paraId="7F643CF0">
            <w:pPr>
              <w:spacing w:line="259" w:lineRule="auto"/>
              <w:rPr>
                <w:rFonts w:ascii="Arial"/>
                <w:sz w:val="21"/>
                <w:highlight w:val="none"/>
              </w:rPr>
            </w:pPr>
          </w:p>
          <w:p w14:paraId="6F3B997D">
            <w:pPr>
              <w:pStyle w:val="7"/>
              <w:spacing w:before="68" w:line="220" w:lineRule="auto"/>
              <w:ind w:left="298"/>
              <w:rPr>
                <w:sz w:val="21"/>
                <w:szCs w:val="21"/>
                <w:highlight w:val="none"/>
              </w:rPr>
            </w:pPr>
            <w:r>
              <w:rPr>
                <w:b/>
                <w:bCs/>
                <w:spacing w:val="-5"/>
                <w:sz w:val="21"/>
                <w:szCs w:val="21"/>
                <w:highlight w:val="none"/>
              </w:rPr>
              <w:t>过程</w:t>
            </w:r>
          </w:p>
        </w:tc>
        <w:tc>
          <w:tcPr>
            <w:tcW w:w="2737" w:type="dxa"/>
            <w:vAlign w:val="top"/>
          </w:tcPr>
          <w:p w14:paraId="767DE033">
            <w:pPr>
              <w:pStyle w:val="7"/>
              <w:spacing w:before="69" w:line="219" w:lineRule="auto"/>
              <w:ind w:left="94"/>
              <w:rPr>
                <w:sz w:val="21"/>
                <w:szCs w:val="21"/>
                <w:highlight w:val="none"/>
              </w:rPr>
            </w:pPr>
            <w:r>
              <w:rPr>
                <w:b/>
                <w:bCs/>
                <w:spacing w:val="-6"/>
                <w:sz w:val="21"/>
                <w:szCs w:val="21"/>
                <w:highlight w:val="none"/>
              </w:rPr>
              <w:t>资金管理</w:t>
            </w:r>
          </w:p>
        </w:tc>
        <w:tc>
          <w:tcPr>
            <w:tcW w:w="2317" w:type="dxa"/>
            <w:vAlign w:val="top"/>
          </w:tcPr>
          <w:p w14:paraId="303C5A5F">
            <w:pPr>
              <w:pStyle w:val="7"/>
              <w:spacing w:before="93" w:line="208" w:lineRule="auto"/>
              <w:ind w:left="1044"/>
              <w:rPr>
                <w:sz w:val="21"/>
                <w:szCs w:val="21"/>
                <w:highlight w:val="none"/>
              </w:rPr>
            </w:pPr>
            <w:r>
              <w:rPr>
                <w:spacing w:val="-6"/>
                <w:sz w:val="21"/>
                <w:szCs w:val="21"/>
                <w:highlight w:val="none"/>
              </w:rPr>
              <w:t>10</w:t>
            </w:r>
          </w:p>
        </w:tc>
        <w:tc>
          <w:tcPr>
            <w:tcW w:w="2602" w:type="dxa"/>
            <w:vAlign w:val="top"/>
          </w:tcPr>
          <w:p w14:paraId="6D83FE2D">
            <w:pPr>
              <w:pStyle w:val="7"/>
              <w:spacing w:before="93" w:line="208" w:lineRule="auto"/>
              <w:ind w:left="1137"/>
              <w:rPr>
                <w:sz w:val="21"/>
                <w:szCs w:val="21"/>
                <w:highlight w:val="none"/>
              </w:rPr>
            </w:pPr>
            <w:r>
              <w:rPr>
                <w:spacing w:val="-3"/>
                <w:sz w:val="21"/>
                <w:szCs w:val="21"/>
                <w:highlight w:val="none"/>
              </w:rPr>
              <w:t>9.7</w:t>
            </w:r>
          </w:p>
        </w:tc>
      </w:tr>
      <w:tr w14:paraId="0C3842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23" w:type="dxa"/>
            <w:vMerge w:val="continue"/>
            <w:tcBorders>
              <w:top w:val="nil"/>
              <w:bottom w:val="nil"/>
            </w:tcBorders>
            <w:vAlign w:val="top"/>
          </w:tcPr>
          <w:p w14:paraId="4CA13904">
            <w:pPr>
              <w:rPr>
                <w:rFonts w:ascii="Arial"/>
                <w:sz w:val="21"/>
                <w:highlight w:val="none"/>
              </w:rPr>
            </w:pPr>
          </w:p>
        </w:tc>
        <w:tc>
          <w:tcPr>
            <w:tcW w:w="2737" w:type="dxa"/>
            <w:vAlign w:val="top"/>
          </w:tcPr>
          <w:p w14:paraId="434B6BEE">
            <w:pPr>
              <w:pStyle w:val="7"/>
              <w:spacing w:before="62" w:line="219" w:lineRule="auto"/>
              <w:ind w:left="831"/>
              <w:rPr>
                <w:sz w:val="21"/>
                <w:szCs w:val="21"/>
                <w:highlight w:val="none"/>
              </w:rPr>
            </w:pPr>
            <w:r>
              <w:rPr>
                <w:spacing w:val="1"/>
                <w:sz w:val="21"/>
                <w:szCs w:val="21"/>
                <w:highlight w:val="none"/>
              </w:rPr>
              <w:t>资金到位率</w:t>
            </w:r>
          </w:p>
        </w:tc>
        <w:tc>
          <w:tcPr>
            <w:tcW w:w="2317" w:type="dxa"/>
            <w:vAlign w:val="top"/>
          </w:tcPr>
          <w:p w14:paraId="13A5901D">
            <w:pPr>
              <w:pStyle w:val="7"/>
              <w:spacing w:before="83" w:line="208" w:lineRule="auto"/>
              <w:ind w:left="1094"/>
              <w:rPr>
                <w:sz w:val="21"/>
                <w:szCs w:val="21"/>
                <w:highlight w:val="none"/>
              </w:rPr>
            </w:pPr>
            <w:r>
              <w:rPr>
                <w:sz w:val="21"/>
                <w:szCs w:val="21"/>
                <w:highlight w:val="none"/>
              </w:rPr>
              <w:t>2</w:t>
            </w:r>
          </w:p>
        </w:tc>
        <w:tc>
          <w:tcPr>
            <w:tcW w:w="2602" w:type="dxa"/>
            <w:vAlign w:val="top"/>
          </w:tcPr>
          <w:p w14:paraId="75D728A5">
            <w:pPr>
              <w:pStyle w:val="7"/>
              <w:spacing w:before="83" w:line="208" w:lineRule="auto"/>
              <w:ind w:left="1237"/>
              <w:rPr>
                <w:sz w:val="21"/>
                <w:szCs w:val="21"/>
                <w:highlight w:val="none"/>
              </w:rPr>
            </w:pPr>
            <w:r>
              <w:rPr>
                <w:sz w:val="21"/>
                <w:szCs w:val="21"/>
                <w:highlight w:val="none"/>
              </w:rPr>
              <w:t>2</w:t>
            </w:r>
          </w:p>
        </w:tc>
      </w:tr>
      <w:tr w14:paraId="288FD0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trPr>
        <w:tc>
          <w:tcPr>
            <w:tcW w:w="1023" w:type="dxa"/>
            <w:vMerge w:val="continue"/>
            <w:tcBorders>
              <w:top w:val="nil"/>
              <w:bottom w:val="nil"/>
            </w:tcBorders>
            <w:vAlign w:val="top"/>
          </w:tcPr>
          <w:p w14:paraId="26270EFA">
            <w:pPr>
              <w:rPr>
                <w:rFonts w:ascii="Arial"/>
                <w:sz w:val="21"/>
                <w:highlight w:val="none"/>
              </w:rPr>
            </w:pPr>
          </w:p>
        </w:tc>
        <w:tc>
          <w:tcPr>
            <w:tcW w:w="2737" w:type="dxa"/>
            <w:vAlign w:val="top"/>
          </w:tcPr>
          <w:p w14:paraId="34A6ACE5">
            <w:pPr>
              <w:pStyle w:val="7"/>
              <w:spacing w:before="72" w:line="219" w:lineRule="auto"/>
              <w:ind w:left="831"/>
              <w:rPr>
                <w:sz w:val="21"/>
                <w:szCs w:val="21"/>
                <w:highlight w:val="none"/>
              </w:rPr>
            </w:pPr>
            <w:r>
              <w:rPr>
                <w:spacing w:val="-2"/>
                <w:sz w:val="21"/>
                <w:szCs w:val="21"/>
                <w:highlight w:val="none"/>
              </w:rPr>
              <w:t>预算执行率</w:t>
            </w:r>
          </w:p>
        </w:tc>
        <w:tc>
          <w:tcPr>
            <w:tcW w:w="2317" w:type="dxa"/>
            <w:vAlign w:val="top"/>
          </w:tcPr>
          <w:p w14:paraId="7553F226">
            <w:pPr>
              <w:pStyle w:val="7"/>
              <w:spacing w:before="93" w:line="217" w:lineRule="auto"/>
              <w:ind w:left="1094"/>
              <w:rPr>
                <w:sz w:val="21"/>
                <w:szCs w:val="21"/>
                <w:highlight w:val="none"/>
              </w:rPr>
            </w:pPr>
            <w:r>
              <w:rPr>
                <w:sz w:val="21"/>
                <w:szCs w:val="21"/>
                <w:highlight w:val="none"/>
              </w:rPr>
              <w:t>3</w:t>
            </w:r>
          </w:p>
        </w:tc>
        <w:tc>
          <w:tcPr>
            <w:tcW w:w="2602" w:type="dxa"/>
            <w:vAlign w:val="top"/>
          </w:tcPr>
          <w:p w14:paraId="33C6EBC2">
            <w:pPr>
              <w:pStyle w:val="7"/>
              <w:spacing w:before="93" w:line="217" w:lineRule="auto"/>
              <w:ind w:left="1237"/>
              <w:rPr>
                <w:sz w:val="21"/>
                <w:szCs w:val="21"/>
                <w:highlight w:val="none"/>
              </w:rPr>
            </w:pPr>
            <w:r>
              <w:rPr>
                <w:sz w:val="21"/>
                <w:szCs w:val="21"/>
                <w:highlight w:val="none"/>
              </w:rPr>
              <w:t>3</w:t>
            </w:r>
          </w:p>
        </w:tc>
      </w:tr>
      <w:tr w14:paraId="5ACEA4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23" w:type="dxa"/>
            <w:vMerge w:val="continue"/>
            <w:tcBorders>
              <w:top w:val="nil"/>
              <w:bottom w:val="nil"/>
            </w:tcBorders>
            <w:vAlign w:val="top"/>
          </w:tcPr>
          <w:p w14:paraId="55A7F545">
            <w:pPr>
              <w:rPr>
                <w:rFonts w:ascii="Arial"/>
                <w:sz w:val="21"/>
                <w:highlight w:val="none"/>
              </w:rPr>
            </w:pPr>
          </w:p>
        </w:tc>
        <w:tc>
          <w:tcPr>
            <w:tcW w:w="2737" w:type="dxa"/>
            <w:vAlign w:val="top"/>
          </w:tcPr>
          <w:p w14:paraId="72F68F58">
            <w:pPr>
              <w:pStyle w:val="7"/>
              <w:spacing w:before="62" w:line="219" w:lineRule="auto"/>
              <w:ind w:left="621"/>
              <w:rPr>
                <w:sz w:val="21"/>
                <w:szCs w:val="21"/>
                <w:highlight w:val="none"/>
              </w:rPr>
            </w:pPr>
            <w:r>
              <w:rPr>
                <w:spacing w:val="1"/>
                <w:sz w:val="21"/>
                <w:szCs w:val="21"/>
                <w:highlight w:val="none"/>
              </w:rPr>
              <w:t>资金使用合规性</w:t>
            </w:r>
          </w:p>
        </w:tc>
        <w:tc>
          <w:tcPr>
            <w:tcW w:w="2317" w:type="dxa"/>
            <w:vAlign w:val="top"/>
          </w:tcPr>
          <w:p w14:paraId="3CD7F48F">
            <w:pPr>
              <w:pStyle w:val="7"/>
              <w:spacing w:before="83" w:line="207" w:lineRule="auto"/>
              <w:ind w:left="1094"/>
              <w:rPr>
                <w:sz w:val="21"/>
                <w:szCs w:val="21"/>
                <w:highlight w:val="none"/>
              </w:rPr>
            </w:pPr>
            <w:r>
              <w:rPr>
                <w:sz w:val="21"/>
                <w:szCs w:val="21"/>
                <w:highlight w:val="none"/>
              </w:rPr>
              <w:t>5</w:t>
            </w:r>
          </w:p>
        </w:tc>
        <w:tc>
          <w:tcPr>
            <w:tcW w:w="2602" w:type="dxa"/>
            <w:vAlign w:val="top"/>
          </w:tcPr>
          <w:p w14:paraId="210F84CB">
            <w:pPr>
              <w:pStyle w:val="7"/>
              <w:spacing w:before="83" w:line="207" w:lineRule="auto"/>
              <w:ind w:left="1137"/>
              <w:rPr>
                <w:sz w:val="21"/>
                <w:szCs w:val="21"/>
                <w:highlight w:val="none"/>
              </w:rPr>
            </w:pPr>
            <w:r>
              <w:rPr>
                <w:spacing w:val="-2"/>
                <w:sz w:val="21"/>
                <w:szCs w:val="21"/>
                <w:highlight w:val="none"/>
              </w:rPr>
              <w:t>4.7</w:t>
            </w:r>
          </w:p>
        </w:tc>
      </w:tr>
      <w:tr w14:paraId="76FBA3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trPr>
        <w:tc>
          <w:tcPr>
            <w:tcW w:w="1023" w:type="dxa"/>
            <w:vMerge w:val="continue"/>
            <w:tcBorders>
              <w:top w:val="nil"/>
              <w:bottom w:val="nil"/>
            </w:tcBorders>
            <w:vAlign w:val="top"/>
          </w:tcPr>
          <w:p w14:paraId="61981A66">
            <w:pPr>
              <w:rPr>
                <w:rFonts w:ascii="Arial"/>
                <w:sz w:val="21"/>
                <w:highlight w:val="none"/>
              </w:rPr>
            </w:pPr>
          </w:p>
        </w:tc>
        <w:tc>
          <w:tcPr>
            <w:tcW w:w="2737" w:type="dxa"/>
            <w:vAlign w:val="top"/>
          </w:tcPr>
          <w:p w14:paraId="1A1AA816">
            <w:pPr>
              <w:pStyle w:val="7"/>
              <w:spacing w:before="71" w:line="220" w:lineRule="auto"/>
              <w:ind w:left="94"/>
              <w:rPr>
                <w:sz w:val="21"/>
                <w:szCs w:val="21"/>
                <w:highlight w:val="none"/>
              </w:rPr>
            </w:pPr>
            <w:r>
              <w:rPr>
                <w:b/>
                <w:bCs/>
                <w:spacing w:val="-5"/>
                <w:sz w:val="21"/>
                <w:szCs w:val="21"/>
                <w:highlight w:val="none"/>
              </w:rPr>
              <w:t>组织实施</w:t>
            </w:r>
          </w:p>
        </w:tc>
        <w:tc>
          <w:tcPr>
            <w:tcW w:w="2317" w:type="dxa"/>
            <w:vAlign w:val="top"/>
          </w:tcPr>
          <w:p w14:paraId="04AE03C3">
            <w:pPr>
              <w:pStyle w:val="7"/>
              <w:spacing w:before="94" w:line="216" w:lineRule="auto"/>
              <w:ind w:left="1044"/>
              <w:rPr>
                <w:sz w:val="21"/>
                <w:szCs w:val="21"/>
                <w:highlight w:val="none"/>
              </w:rPr>
            </w:pPr>
            <w:r>
              <w:rPr>
                <w:spacing w:val="-6"/>
                <w:sz w:val="21"/>
                <w:szCs w:val="21"/>
                <w:highlight w:val="none"/>
              </w:rPr>
              <w:t>10</w:t>
            </w:r>
          </w:p>
        </w:tc>
        <w:tc>
          <w:tcPr>
            <w:tcW w:w="2602" w:type="dxa"/>
            <w:vAlign w:val="top"/>
          </w:tcPr>
          <w:p w14:paraId="528719AB">
            <w:pPr>
              <w:pStyle w:val="7"/>
              <w:spacing w:before="94" w:line="216" w:lineRule="auto"/>
              <w:ind w:left="1137"/>
              <w:rPr>
                <w:sz w:val="21"/>
                <w:szCs w:val="21"/>
                <w:highlight w:val="none"/>
              </w:rPr>
            </w:pPr>
            <w:r>
              <w:rPr>
                <w:spacing w:val="-3"/>
                <w:sz w:val="21"/>
                <w:szCs w:val="21"/>
                <w:highlight w:val="none"/>
              </w:rPr>
              <w:t>8.5</w:t>
            </w:r>
          </w:p>
        </w:tc>
      </w:tr>
      <w:tr w14:paraId="1E22F6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023" w:type="dxa"/>
            <w:vMerge w:val="continue"/>
            <w:tcBorders>
              <w:top w:val="nil"/>
              <w:bottom w:val="nil"/>
            </w:tcBorders>
            <w:vAlign w:val="top"/>
          </w:tcPr>
          <w:p w14:paraId="79296676">
            <w:pPr>
              <w:rPr>
                <w:rFonts w:ascii="Arial"/>
                <w:sz w:val="21"/>
                <w:highlight w:val="none"/>
              </w:rPr>
            </w:pPr>
          </w:p>
        </w:tc>
        <w:tc>
          <w:tcPr>
            <w:tcW w:w="2737" w:type="dxa"/>
            <w:vAlign w:val="top"/>
          </w:tcPr>
          <w:p w14:paraId="2A48CE0E">
            <w:pPr>
              <w:pStyle w:val="7"/>
              <w:spacing w:before="73" w:line="219" w:lineRule="auto"/>
              <w:ind w:left="621"/>
              <w:rPr>
                <w:sz w:val="21"/>
                <w:szCs w:val="21"/>
                <w:highlight w:val="none"/>
              </w:rPr>
            </w:pPr>
            <w:r>
              <w:rPr>
                <w:spacing w:val="1"/>
                <w:sz w:val="21"/>
                <w:szCs w:val="21"/>
                <w:highlight w:val="none"/>
              </w:rPr>
              <w:t>管理制度健全性</w:t>
            </w:r>
          </w:p>
        </w:tc>
        <w:tc>
          <w:tcPr>
            <w:tcW w:w="2317" w:type="dxa"/>
            <w:vAlign w:val="top"/>
          </w:tcPr>
          <w:p w14:paraId="01672765">
            <w:pPr>
              <w:pStyle w:val="7"/>
              <w:spacing w:before="94" w:line="207" w:lineRule="auto"/>
              <w:ind w:left="1094"/>
              <w:rPr>
                <w:sz w:val="21"/>
                <w:szCs w:val="21"/>
                <w:highlight w:val="none"/>
              </w:rPr>
            </w:pPr>
            <w:r>
              <w:rPr>
                <w:sz w:val="21"/>
                <w:szCs w:val="21"/>
                <w:highlight w:val="none"/>
              </w:rPr>
              <w:t>5</w:t>
            </w:r>
          </w:p>
        </w:tc>
        <w:tc>
          <w:tcPr>
            <w:tcW w:w="2602" w:type="dxa"/>
            <w:vAlign w:val="top"/>
          </w:tcPr>
          <w:p w14:paraId="7AB56B16">
            <w:pPr>
              <w:pStyle w:val="7"/>
              <w:spacing w:before="94" w:line="207" w:lineRule="auto"/>
              <w:ind w:left="1137"/>
              <w:rPr>
                <w:sz w:val="21"/>
                <w:szCs w:val="21"/>
                <w:highlight w:val="none"/>
              </w:rPr>
            </w:pPr>
            <w:r>
              <w:rPr>
                <w:spacing w:val="-2"/>
                <w:sz w:val="21"/>
                <w:szCs w:val="21"/>
                <w:highlight w:val="none"/>
              </w:rPr>
              <w:t>4.6</w:t>
            </w:r>
          </w:p>
        </w:tc>
      </w:tr>
      <w:tr w14:paraId="737D54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23" w:type="dxa"/>
            <w:vMerge w:val="continue"/>
            <w:tcBorders>
              <w:top w:val="nil"/>
            </w:tcBorders>
            <w:vAlign w:val="top"/>
          </w:tcPr>
          <w:p w14:paraId="2DE599E0">
            <w:pPr>
              <w:rPr>
                <w:rFonts w:ascii="Arial"/>
                <w:sz w:val="21"/>
                <w:highlight w:val="none"/>
              </w:rPr>
            </w:pPr>
          </w:p>
        </w:tc>
        <w:tc>
          <w:tcPr>
            <w:tcW w:w="2737" w:type="dxa"/>
            <w:vAlign w:val="top"/>
          </w:tcPr>
          <w:p w14:paraId="7046FF1C">
            <w:pPr>
              <w:pStyle w:val="7"/>
              <w:spacing w:before="63" w:line="219" w:lineRule="auto"/>
              <w:ind w:left="621"/>
              <w:rPr>
                <w:sz w:val="21"/>
                <w:szCs w:val="21"/>
                <w:highlight w:val="none"/>
              </w:rPr>
            </w:pPr>
            <w:r>
              <w:rPr>
                <w:spacing w:val="-2"/>
                <w:sz w:val="21"/>
                <w:szCs w:val="21"/>
                <w:highlight w:val="none"/>
              </w:rPr>
              <w:t>制度执行有效性</w:t>
            </w:r>
          </w:p>
        </w:tc>
        <w:tc>
          <w:tcPr>
            <w:tcW w:w="2317" w:type="dxa"/>
            <w:vAlign w:val="top"/>
          </w:tcPr>
          <w:p w14:paraId="10C03F6A">
            <w:pPr>
              <w:pStyle w:val="7"/>
              <w:spacing w:before="84" w:line="206" w:lineRule="auto"/>
              <w:ind w:left="1094"/>
              <w:rPr>
                <w:sz w:val="21"/>
                <w:szCs w:val="21"/>
                <w:highlight w:val="none"/>
              </w:rPr>
            </w:pPr>
            <w:r>
              <w:rPr>
                <w:sz w:val="21"/>
                <w:szCs w:val="21"/>
                <w:highlight w:val="none"/>
              </w:rPr>
              <w:t>5</w:t>
            </w:r>
          </w:p>
        </w:tc>
        <w:tc>
          <w:tcPr>
            <w:tcW w:w="2602" w:type="dxa"/>
            <w:vAlign w:val="top"/>
          </w:tcPr>
          <w:p w14:paraId="7A73383F">
            <w:pPr>
              <w:pStyle w:val="7"/>
              <w:spacing w:before="84" w:line="206" w:lineRule="auto"/>
              <w:ind w:left="1137"/>
              <w:rPr>
                <w:sz w:val="21"/>
                <w:szCs w:val="21"/>
                <w:highlight w:val="none"/>
              </w:rPr>
            </w:pPr>
            <w:r>
              <w:rPr>
                <w:spacing w:val="-3"/>
                <w:sz w:val="21"/>
                <w:szCs w:val="21"/>
                <w:highlight w:val="none"/>
              </w:rPr>
              <w:t>3.9</w:t>
            </w:r>
          </w:p>
        </w:tc>
      </w:tr>
      <w:tr w14:paraId="10FFBE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23" w:type="dxa"/>
            <w:vMerge w:val="restart"/>
            <w:tcBorders>
              <w:bottom w:val="nil"/>
            </w:tcBorders>
            <w:vAlign w:val="top"/>
          </w:tcPr>
          <w:p w14:paraId="2AD2EE34">
            <w:pPr>
              <w:spacing w:line="243" w:lineRule="auto"/>
              <w:rPr>
                <w:rFonts w:ascii="Arial"/>
                <w:sz w:val="21"/>
                <w:highlight w:val="none"/>
              </w:rPr>
            </w:pPr>
          </w:p>
          <w:p w14:paraId="579F8DA5">
            <w:pPr>
              <w:spacing w:line="244" w:lineRule="auto"/>
              <w:rPr>
                <w:rFonts w:ascii="Arial"/>
                <w:sz w:val="21"/>
                <w:highlight w:val="none"/>
              </w:rPr>
            </w:pPr>
          </w:p>
          <w:p w14:paraId="340CF81D">
            <w:pPr>
              <w:spacing w:line="244" w:lineRule="auto"/>
              <w:rPr>
                <w:rFonts w:ascii="Arial"/>
                <w:sz w:val="21"/>
                <w:highlight w:val="none"/>
              </w:rPr>
            </w:pPr>
          </w:p>
          <w:p w14:paraId="2EBEB307">
            <w:pPr>
              <w:spacing w:line="244" w:lineRule="auto"/>
              <w:rPr>
                <w:rFonts w:ascii="Arial"/>
                <w:sz w:val="21"/>
                <w:highlight w:val="none"/>
              </w:rPr>
            </w:pPr>
          </w:p>
          <w:p w14:paraId="0ADEDF2D">
            <w:pPr>
              <w:spacing w:line="244" w:lineRule="auto"/>
              <w:rPr>
                <w:rFonts w:ascii="Arial"/>
                <w:sz w:val="21"/>
                <w:highlight w:val="none"/>
              </w:rPr>
            </w:pPr>
          </w:p>
          <w:p w14:paraId="606661DC">
            <w:pPr>
              <w:pStyle w:val="7"/>
              <w:spacing w:before="68" w:line="219" w:lineRule="auto"/>
              <w:ind w:left="294"/>
              <w:rPr>
                <w:sz w:val="21"/>
                <w:szCs w:val="21"/>
                <w:highlight w:val="none"/>
              </w:rPr>
            </w:pPr>
            <w:r>
              <w:rPr>
                <w:spacing w:val="12"/>
                <w:sz w:val="21"/>
                <w:szCs w:val="21"/>
                <w:highlight w:val="none"/>
              </w:rPr>
              <w:t>产出</w:t>
            </w:r>
          </w:p>
        </w:tc>
        <w:tc>
          <w:tcPr>
            <w:tcW w:w="2737" w:type="dxa"/>
            <w:vAlign w:val="top"/>
          </w:tcPr>
          <w:p w14:paraId="635A9E1F">
            <w:pPr>
              <w:pStyle w:val="7"/>
              <w:spacing w:before="61" w:line="219" w:lineRule="auto"/>
              <w:ind w:left="94"/>
              <w:rPr>
                <w:sz w:val="21"/>
                <w:szCs w:val="21"/>
                <w:highlight w:val="none"/>
              </w:rPr>
            </w:pPr>
            <w:r>
              <w:rPr>
                <w:b/>
                <w:bCs/>
                <w:spacing w:val="-4"/>
                <w:sz w:val="21"/>
                <w:szCs w:val="21"/>
                <w:highlight w:val="none"/>
              </w:rPr>
              <w:t>产出数量</w:t>
            </w:r>
          </w:p>
        </w:tc>
        <w:tc>
          <w:tcPr>
            <w:tcW w:w="2317" w:type="dxa"/>
            <w:vAlign w:val="top"/>
          </w:tcPr>
          <w:p w14:paraId="4019673A">
            <w:pPr>
              <w:pStyle w:val="7"/>
              <w:spacing w:before="85" w:line="205" w:lineRule="auto"/>
              <w:ind w:left="1044"/>
              <w:rPr>
                <w:sz w:val="21"/>
                <w:szCs w:val="21"/>
                <w:highlight w:val="none"/>
              </w:rPr>
            </w:pPr>
            <w:r>
              <w:rPr>
                <w:spacing w:val="-6"/>
                <w:sz w:val="21"/>
                <w:szCs w:val="21"/>
                <w:highlight w:val="none"/>
              </w:rPr>
              <w:t>10</w:t>
            </w:r>
          </w:p>
        </w:tc>
        <w:tc>
          <w:tcPr>
            <w:tcW w:w="2602" w:type="dxa"/>
            <w:vAlign w:val="top"/>
          </w:tcPr>
          <w:p w14:paraId="3B66A887">
            <w:pPr>
              <w:pStyle w:val="7"/>
              <w:spacing w:before="85" w:line="205" w:lineRule="auto"/>
              <w:ind w:left="1137"/>
              <w:rPr>
                <w:sz w:val="21"/>
                <w:szCs w:val="21"/>
                <w:highlight w:val="none"/>
              </w:rPr>
            </w:pPr>
            <w:r>
              <w:rPr>
                <w:spacing w:val="-3"/>
                <w:sz w:val="21"/>
                <w:szCs w:val="21"/>
                <w:highlight w:val="none"/>
              </w:rPr>
              <w:t>8.5</w:t>
            </w:r>
          </w:p>
        </w:tc>
      </w:tr>
      <w:tr w14:paraId="772BC7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trPr>
        <w:tc>
          <w:tcPr>
            <w:tcW w:w="1023" w:type="dxa"/>
            <w:vMerge w:val="continue"/>
            <w:tcBorders>
              <w:top w:val="nil"/>
              <w:bottom w:val="nil"/>
            </w:tcBorders>
            <w:vAlign w:val="top"/>
          </w:tcPr>
          <w:p w14:paraId="5219E58B">
            <w:pPr>
              <w:rPr>
                <w:rFonts w:ascii="Arial"/>
                <w:sz w:val="21"/>
                <w:highlight w:val="none"/>
              </w:rPr>
            </w:pPr>
          </w:p>
        </w:tc>
        <w:tc>
          <w:tcPr>
            <w:tcW w:w="2737" w:type="dxa"/>
            <w:vAlign w:val="top"/>
          </w:tcPr>
          <w:p w14:paraId="74942DB8">
            <w:pPr>
              <w:pStyle w:val="7"/>
              <w:spacing w:before="75" w:line="219" w:lineRule="auto"/>
              <w:ind w:left="831"/>
              <w:rPr>
                <w:sz w:val="21"/>
                <w:szCs w:val="21"/>
                <w:highlight w:val="none"/>
              </w:rPr>
            </w:pPr>
            <w:r>
              <w:rPr>
                <w:spacing w:val="1"/>
                <w:sz w:val="21"/>
                <w:szCs w:val="21"/>
                <w:highlight w:val="none"/>
              </w:rPr>
              <w:t>实际完成率</w:t>
            </w:r>
          </w:p>
        </w:tc>
        <w:tc>
          <w:tcPr>
            <w:tcW w:w="2317" w:type="dxa"/>
            <w:vAlign w:val="top"/>
          </w:tcPr>
          <w:p w14:paraId="0D70ADBE">
            <w:pPr>
              <w:pStyle w:val="7"/>
              <w:spacing w:before="96" w:line="214" w:lineRule="auto"/>
              <w:ind w:left="1044"/>
              <w:rPr>
                <w:sz w:val="21"/>
                <w:szCs w:val="21"/>
                <w:highlight w:val="none"/>
              </w:rPr>
            </w:pPr>
            <w:r>
              <w:rPr>
                <w:spacing w:val="-6"/>
                <w:sz w:val="21"/>
                <w:szCs w:val="21"/>
                <w:highlight w:val="none"/>
              </w:rPr>
              <w:t>10</w:t>
            </w:r>
          </w:p>
        </w:tc>
        <w:tc>
          <w:tcPr>
            <w:tcW w:w="2602" w:type="dxa"/>
            <w:vAlign w:val="top"/>
          </w:tcPr>
          <w:p w14:paraId="6E93A2BE">
            <w:pPr>
              <w:pStyle w:val="7"/>
              <w:spacing w:before="96" w:line="214" w:lineRule="auto"/>
              <w:ind w:left="1137"/>
              <w:rPr>
                <w:sz w:val="21"/>
                <w:szCs w:val="21"/>
                <w:highlight w:val="none"/>
              </w:rPr>
            </w:pPr>
            <w:r>
              <w:rPr>
                <w:spacing w:val="-3"/>
                <w:sz w:val="21"/>
                <w:szCs w:val="21"/>
                <w:highlight w:val="none"/>
              </w:rPr>
              <w:t>8.5</w:t>
            </w:r>
          </w:p>
        </w:tc>
      </w:tr>
      <w:tr w14:paraId="06990E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23" w:type="dxa"/>
            <w:vMerge w:val="continue"/>
            <w:tcBorders>
              <w:top w:val="nil"/>
              <w:bottom w:val="nil"/>
            </w:tcBorders>
            <w:vAlign w:val="top"/>
          </w:tcPr>
          <w:p w14:paraId="4C3F73AE">
            <w:pPr>
              <w:rPr>
                <w:rFonts w:ascii="Arial"/>
                <w:sz w:val="21"/>
                <w:highlight w:val="none"/>
              </w:rPr>
            </w:pPr>
          </w:p>
        </w:tc>
        <w:tc>
          <w:tcPr>
            <w:tcW w:w="2737" w:type="dxa"/>
            <w:vAlign w:val="top"/>
          </w:tcPr>
          <w:p w14:paraId="67903929">
            <w:pPr>
              <w:pStyle w:val="7"/>
              <w:spacing w:before="62" w:line="219" w:lineRule="auto"/>
              <w:ind w:left="94"/>
              <w:rPr>
                <w:sz w:val="21"/>
                <w:szCs w:val="21"/>
                <w:highlight w:val="none"/>
              </w:rPr>
            </w:pPr>
            <w:r>
              <w:rPr>
                <w:b/>
                <w:bCs/>
                <w:spacing w:val="-4"/>
                <w:sz w:val="21"/>
                <w:szCs w:val="21"/>
                <w:highlight w:val="none"/>
              </w:rPr>
              <w:t>产出质量</w:t>
            </w:r>
          </w:p>
        </w:tc>
        <w:tc>
          <w:tcPr>
            <w:tcW w:w="2317" w:type="dxa"/>
            <w:vAlign w:val="top"/>
          </w:tcPr>
          <w:p w14:paraId="4B03AA40">
            <w:pPr>
              <w:pStyle w:val="7"/>
              <w:spacing w:before="86" w:line="204" w:lineRule="auto"/>
              <w:ind w:left="1044"/>
              <w:rPr>
                <w:sz w:val="21"/>
                <w:szCs w:val="21"/>
                <w:highlight w:val="none"/>
              </w:rPr>
            </w:pPr>
            <w:r>
              <w:rPr>
                <w:spacing w:val="-6"/>
                <w:sz w:val="21"/>
                <w:szCs w:val="21"/>
                <w:highlight w:val="none"/>
              </w:rPr>
              <w:t>10</w:t>
            </w:r>
          </w:p>
        </w:tc>
        <w:tc>
          <w:tcPr>
            <w:tcW w:w="2602" w:type="dxa"/>
            <w:vAlign w:val="top"/>
          </w:tcPr>
          <w:p w14:paraId="1A2CD2F5">
            <w:pPr>
              <w:pStyle w:val="7"/>
              <w:spacing w:before="86" w:line="204" w:lineRule="auto"/>
              <w:ind w:left="1137"/>
              <w:rPr>
                <w:sz w:val="21"/>
                <w:szCs w:val="21"/>
                <w:highlight w:val="none"/>
              </w:rPr>
            </w:pPr>
            <w:r>
              <w:rPr>
                <w:spacing w:val="-3"/>
                <w:sz w:val="21"/>
                <w:szCs w:val="21"/>
                <w:highlight w:val="none"/>
              </w:rPr>
              <w:t>7.6</w:t>
            </w:r>
          </w:p>
        </w:tc>
      </w:tr>
      <w:tr w14:paraId="7AAFB0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trPr>
        <w:tc>
          <w:tcPr>
            <w:tcW w:w="1023" w:type="dxa"/>
            <w:vMerge w:val="continue"/>
            <w:tcBorders>
              <w:top w:val="nil"/>
              <w:bottom w:val="nil"/>
            </w:tcBorders>
            <w:vAlign w:val="top"/>
          </w:tcPr>
          <w:p w14:paraId="133F92D4">
            <w:pPr>
              <w:rPr>
                <w:rFonts w:ascii="Arial"/>
                <w:sz w:val="21"/>
                <w:highlight w:val="none"/>
              </w:rPr>
            </w:pPr>
          </w:p>
        </w:tc>
        <w:tc>
          <w:tcPr>
            <w:tcW w:w="2737" w:type="dxa"/>
            <w:vAlign w:val="top"/>
          </w:tcPr>
          <w:p w14:paraId="3FFD62BF">
            <w:pPr>
              <w:pStyle w:val="7"/>
              <w:spacing w:before="76" w:line="219" w:lineRule="auto"/>
              <w:ind w:left="831"/>
              <w:rPr>
                <w:sz w:val="21"/>
                <w:szCs w:val="21"/>
                <w:highlight w:val="none"/>
              </w:rPr>
            </w:pPr>
            <w:r>
              <w:rPr>
                <w:spacing w:val="-2"/>
                <w:sz w:val="21"/>
                <w:szCs w:val="21"/>
                <w:highlight w:val="none"/>
              </w:rPr>
              <w:t>质量达标率</w:t>
            </w:r>
          </w:p>
        </w:tc>
        <w:tc>
          <w:tcPr>
            <w:tcW w:w="2317" w:type="dxa"/>
            <w:vAlign w:val="top"/>
          </w:tcPr>
          <w:p w14:paraId="05EB1F99">
            <w:pPr>
              <w:pStyle w:val="7"/>
              <w:spacing w:before="97" w:line="213" w:lineRule="auto"/>
              <w:ind w:left="1044"/>
              <w:rPr>
                <w:sz w:val="21"/>
                <w:szCs w:val="21"/>
                <w:highlight w:val="none"/>
              </w:rPr>
            </w:pPr>
            <w:r>
              <w:rPr>
                <w:spacing w:val="-6"/>
                <w:sz w:val="21"/>
                <w:szCs w:val="21"/>
                <w:highlight w:val="none"/>
              </w:rPr>
              <w:t>10</w:t>
            </w:r>
          </w:p>
        </w:tc>
        <w:tc>
          <w:tcPr>
            <w:tcW w:w="2602" w:type="dxa"/>
            <w:vAlign w:val="top"/>
          </w:tcPr>
          <w:p w14:paraId="6CD9269D">
            <w:pPr>
              <w:pStyle w:val="7"/>
              <w:spacing w:before="97" w:line="213" w:lineRule="auto"/>
              <w:ind w:left="1137"/>
              <w:rPr>
                <w:sz w:val="21"/>
                <w:szCs w:val="21"/>
                <w:highlight w:val="none"/>
              </w:rPr>
            </w:pPr>
            <w:r>
              <w:rPr>
                <w:spacing w:val="-3"/>
                <w:sz w:val="21"/>
                <w:szCs w:val="21"/>
                <w:highlight w:val="none"/>
              </w:rPr>
              <w:t>7.6</w:t>
            </w:r>
          </w:p>
        </w:tc>
      </w:tr>
      <w:tr w14:paraId="0CBA13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23" w:type="dxa"/>
            <w:vMerge w:val="continue"/>
            <w:tcBorders>
              <w:top w:val="nil"/>
              <w:bottom w:val="nil"/>
            </w:tcBorders>
            <w:vAlign w:val="top"/>
          </w:tcPr>
          <w:p w14:paraId="3AA5F59C">
            <w:pPr>
              <w:rPr>
                <w:rFonts w:ascii="Arial"/>
                <w:sz w:val="21"/>
                <w:highlight w:val="none"/>
              </w:rPr>
            </w:pPr>
          </w:p>
        </w:tc>
        <w:tc>
          <w:tcPr>
            <w:tcW w:w="2737" w:type="dxa"/>
            <w:vAlign w:val="top"/>
          </w:tcPr>
          <w:p w14:paraId="53699541">
            <w:pPr>
              <w:pStyle w:val="7"/>
              <w:spacing w:before="63" w:line="219" w:lineRule="auto"/>
              <w:ind w:left="74"/>
              <w:rPr>
                <w:sz w:val="21"/>
                <w:szCs w:val="21"/>
                <w:highlight w:val="none"/>
              </w:rPr>
            </w:pPr>
            <w:r>
              <w:rPr>
                <w:b/>
                <w:bCs/>
                <w:spacing w:val="-4"/>
                <w:sz w:val="21"/>
                <w:szCs w:val="21"/>
                <w:highlight w:val="none"/>
              </w:rPr>
              <w:t>产出时效</w:t>
            </w:r>
          </w:p>
        </w:tc>
        <w:tc>
          <w:tcPr>
            <w:tcW w:w="2317" w:type="dxa"/>
            <w:vAlign w:val="top"/>
          </w:tcPr>
          <w:p w14:paraId="5887E7A5">
            <w:pPr>
              <w:pStyle w:val="7"/>
              <w:spacing w:before="87" w:line="204" w:lineRule="auto"/>
              <w:ind w:left="1044"/>
              <w:rPr>
                <w:sz w:val="21"/>
                <w:szCs w:val="21"/>
                <w:highlight w:val="none"/>
              </w:rPr>
            </w:pPr>
            <w:r>
              <w:rPr>
                <w:spacing w:val="-6"/>
                <w:sz w:val="21"/>
                <w:szCs w:val="21"/>
                <w:highlight w:val="none"/>
              </w:rPr>
              <w:t>10</w:t>
            </w:r>
          </w:p>
        </w:tc>
        <w:tc>
          <w:tcPr>
            <w:tcW w:w="2602" w:type="dxa"/>
            <w:vAlign w:val="top"/>
          </w:tcPr>
          <w:p w14:paraId="5390BC72">
            <w:pPr>
              <w:pStyle w:val="7"/>
              <w:spacing w:before="87" w:line="204" w:lineRule="auto"/>
              <w:ind w:left="1137"/>
              <w:rPr>
                <w:sz w:val="21"/>
                <w:szCs w:val="21"/>
                <w:highlight w:val="none"/>
              </w:rPr>
            </w:pPr>
            <w:r>
              <w:rPr>
                <w:spacing w:val="-3"/>
                <w:sz w:val="21"/>
                <w:szCs w:val="21"/>
                <w:highlight w:val="none"/>
              </w:rPr>
              <w:t>9.4</w:t>
            </w:r>
          </w:p>
        </w:tc>
      </w:tr>
      <w:tr w14:paraId="2BBEE2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trPr>
        <w:tc>
          <w:tcPr>
            <w:tcW w:w="1023" w:type="dxa"/>
            <w:vMerge w:val="continue"/>
            <w:tcBorders>
              <w:top w:val="nil"/>
              <w:bottom w:val="nil"/>
            </w:tcBorders>
            <w:vAlign w:val="top"/>
          </w:tcPr>
          <w:p w14:paraId="12F71C48">
            <w:pPr>
              <w:rPr>
                <w:rFonts w:ascii="Arial"/>
                <w:sz w:val="21"/>
                <w:highlight w:val="none"/>
              </w:rPr>
            </w:pPr>
          </w:p>
        </w:tc>
        <w:tc>
          <w:tcPr>
            <w:tcW w:w="2737" w:type="dxa"/>
            <w:vAlign w:val="top"/>
          </w:tcPr>
          <w:p w14:paraId="5C847632">
            <w:pPr>
              <w:pStyle w:val="7"/>
              <w:spacing w:before="76" w:line="219" w:lineRule="auto"/>
              <w:ind w:left="831"/>
              <w:rPr>
                <w:sz w:val="21"/>
                <w:szCs w:val="21"/>
                <w:highlight w:val="none"/>
              </w:rPr>
            </w:pPr>
            <w:r>
              <w:rPr>
                <w:spacing w:val="-2"/>
                <w:sz w:val="21"/>
                <w:szCs w:val="21"/>
                <w:highlight w:val="none"/>
              </w:rPr>
              <w:t>完成及时性</w:t>
            </w:r>
          </w:p>
        </w:tc>
        <w:tc>
          <w:tcPr>
            <w:tcW w:w="2317" w:type="dxa"/>
            <w:vAlign w:val="top"/>
          </w:tcPr>
          <w:p w14:paraId="4E2D4983">
            <w:pPr>
              <w:pStyle w:val="7"/>
              <w:spacing w:before="97" w:line="213" w:lineRule="auto"/>
              <w:ind w:left="1044"/>
              <w:rPr>
                <w:sz w:val="21"/>
                <w:szCs w:val="21"/>
                <w:highlight w:val="none"/>
              </w:rPr>
            </w:pPr>
            <w:r>
              <w:rPr>
                <w:spacing w:val="-6"/>
                <w:sz w:val="21"/>
                <w:szCs w:val="21"/>
                <w:highlight w:val="none"/>
              </w:rPr>
              <w:t>10</w:t>
            </w:r>
          </w:p>
        </w:tc>
        <w:tc>
          <w:tcPr>
            <w:tcW w:w="2602" w:type="dxa"/>
            <w:vAlign w:val="top"/>
          </w:tcPr>
          <w:p w14:paraId="087E2563">
            <w:pPr>
              <w:pStyle w:val="7"/>
              <w:spacing w:before="97" w:line="213" w:lineRule="auto"/>
              <w:ind w:left="1137"/>
              <w:rPr>
                <w:sz w:val="21"/>
                <w:szCs w:val="21"/>
                <w:highlight w:val="none"/>
              </w:rPr>
            </w:pPr>
            <w:r>
              <w:rPr>
                <w:spacing w:val="-3"/>
                <w:sz w:val="21"/>
                <w:szCs w:val="21"/>
                <w:highlight w:val="none"/>
              </w:rPr>
              <w:t>9.4</w:t>
            </w:r>
          </w:p>
        </w:tc>
      </w:tr>
      <w:tr w14:paraId="284674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9" w:hRule="atLeast"/>
        </w:trPr>
        <w:tc>
          <w:tcPr>
            <w:tcW w:w="1023" w:type="dxa"/>
            <w:vMerge w:val="continue"/>
            <w:tcBorders>
              <w:top w:val="nil"/>
              <w:bottom w:val="nil"/>
            </w:tcBorders>
            <w:vAlign w:val="top"/>
          </w:tcPr>
          <w:p w14:paraId="198A7E35">
            <w:pPr>
              <w:rPr>
                <w:rFonts w:ascii="Arial"/>
                <w:sz w:val="21"/>
                <w:highlight w:val="none"/>
              </w:rPr>
            </w:pPr>
          </w:p>
        </w:tc>
        <w:tc>
          <w:tcPr>
            <w:tcW w:w="2737" w:type="dxa"/>
            <w:vAlign w:val="top"/>
          </w:tcPr>
          <w:p w14:paraId="78950018">
            <w:pPr>
              <w:pStyle w:val="7"/>
              <w:spacing w:before="72" w:line="219" w:lineRule="auto"/>
              <w:ind w:left="64"/>
              <w:rPr>
                <w:sz w:val="21"/>
                <w:szCs w:val="21"/>
                <w:highlight w:val="none"/>
              </w:rPr>
            </w:pPr>
            <w:r>
              <w:rPr>
                <w:b/>
                <w:bCs/>
                <w:spacing w:val="-4"/>
                <w:sz w:val="21"/>
                <w:szCs w:val="21"/>
                <w:highlight w:val="none"/>
              </w:rPr>
              <w:t>产出成本</w:t>
            </w:r>
          </w:p>
        </w:tc>
        <w:tc>
          <w:tcPr>
            <w:tcW w:w="2317" w:type="dxa"/>
            <w:vAlign w:val="top"/>
          </w:tcPr>
          <w:p w14:paraId="391B4F95">
            <w:pPr>
              <w:pStyle w:val="7"/>
              <w:spacing w:before="96" w:line="204" w:lineRule="auto"/>
              <w:ind w:left="1044"/>
              <w:rPr>
                <w:sz w:val="21"/>
                <w:szCs w:val="21"/>
                <w:highlight w:val="none"/>
              </w:rPr>
            </w:pPr>
            <w:r>
              <w:rPr>
                <w:spacing w:val="-6"/>
                <w:sz w:val="21"/>
                <w:szCs w:val="21"/>
                <w:highlight w:val="none"/>
              </w:rPr>
              <w:t>10</w:t>
            </w:r>
          </w:p>
        </w:tc>
        <w:tc>
          <w:tcPr>
            <w:tcW w:w="2602" w:type="dxa"/>
            <w:vAlign w:val="top"/>
          </w:tcPr>
          <w:p w14:paraId="1A11079D">
            <w:pPr>
              <w:pStyle w:val="7"/>
              <w:spacing w:before="96" w:line="204" w:lineRule="auto"/>
              <w:ind w:left="1137"/>
              <w:rPr>
                <w:sz w:val="21"/>
                <w:szCs w:val="21"/>
                <w:highlight w:val="none"/>
              </w:rPr>
            </w:pPr>
            <w:r>
              <w:rPr>
                <w:spacing w:val="-3"/>
                <w:sz w:val="21"/>
                <w:szCs w:val="21"/>
                <w:highlight w:val="none"/>
              </w:rPr>
              <w:t>9.2</w:t>
            </w:r>
          </w:p>
        </w:tc>
      </w:tr>
      <w:tr w14:paraId="6D553D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023" w:type="dxa"/>
            <w:vMerge w:val="continue"/>
            <w:tcBorders>
              <w:top w:val="nil"/>
            </w:tcBorders>
            <w:vAlign w:val="top"/>
          </w:tcPr>
          <w:p w14:paraId="78D8404B">
            <w:pPr>
              <w:rPr>
                <w:rFonts w:ascii="Arial"/>
                <w:sz w:val="21"/>
                <w:highlight w:val="none"/>
              </w:rPr>
            </w:pPr>
          </w:p>
        </w:tc>
        <w:tc>
          <w:tcPr>
            <w:tcW w:w="2737" w:type="dxa"/>
            <w:vAlign w:val="top"/>
          </w:tcPr>
          <w:p w14:paraId="47F6E476">
            <w:pPr>
              <w:pStyle w:val="7"/>
              <w:spacing w:before="76" w:line="219" w:lineRule="auto"/>
              <w:ind w:left="831"/>
              <w:rPr>
                <w:sz w:val="21"/>
                <w:szCs w:val="21"/>
                <w:highlight w:val="none"/>
              </w:rPr>
            </w:pPr>
            <w:r>
              <w:rPr>
                <w:spacing w:val="-2"/>
                <w:sz w:val="21"/>
                <w:szCs w:val="21"/>
                <w:highlight w:val="none"/>
              </w:rPr>
              <w:t>成本节约率</w:t>
            </w:r>
          </w:p>
        </w:tc>
        <w:tc>
          <w:tcPr>
            <w:tcW w:w="2317" w:type="dxa"/>
            <w:vAlign w:val="top"/>
          </w:tcPr>
          <w:p w14:paraId="4EF332CD">
            <w:pPr>
              <w:pStyle w:val="7"/>
              <w:spacing w:before="99" w:line="203" w:lineRule="auto"/>
              <w:ind w:left="1044"/>
              <w:rPr>
                <w:sz w:val="21"/>
                <w:szCs w:val="21"/>
                <w:highlight w:val="none"/>
              </w:rPr>
            </w:pPr>
            <w:r>
              <w:rPr>
                <w:spacing w:val="-6"/>
                <w:sz w:val="21"/>
                <w:szCs w:val="21"/>
                <w:highlight w:val="none"/>
              </w:rPr>
              <w:t>10</w:t>
            </w:r>
          </w:p>
        </w:tc>
        <w:tc>
          <w:tcPr>
            <w:tcW w:w="2602" w:type="dxa"/>
            <w:vAlign w:val="top"/>
          </w:tcPr>
          <w:p w14:paraId="5DF5B8E0">
            <w:pPr>
              <w:pStyle w:val="7"/>
              <w:spacing w:before="99" w:line="203" w:lineRule="auto"/>
              <w:ind w:left="1137"/>
              <w:rPr>
                <w:sz w:val="21"/>
                <w:szCs w:val="21"/>
                <w:highlight w:val="none"/>
              </w:rPr>
            </w:pPr>
            <w:r>
              <w:rPr>
                <w:spacing w:val="-3"/>
                <w:sz w:val="21"/>
                <w:szCs w:val="21"/>
                <w:highlight w:val="none"/>
              </w:rPr>
              <w:t>9.2</w:t>
            </w:r>
          </w:p>
        </w:tc>
      </w:tr>
      <w:tr w14:paraId="756A11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23" w:type="dxa"/>
            <w:vMerge w:val="restart"/>
            <w:tcBorders>
              <w:bottom w:val="nil"/>
            </w:tcBorders>
            <w:vAlign w:val="top"/>
          </w:tcPr>
          <w:p w14:paraId="1E26C0CE">
            <w:pPr>
              <w:spacing w:line="347" w:lineRule="auto"/>
              <w:rPr>
                <w:rFonts w:ascii="Arial"/>
                <w:sz w:val="21"/>
                <w:highlight w:val="none"/>
              </w:rPr>
            </w:pPr>
          </w:p>
          <w:p w14:paraId="5A284883">
            <w:pPr>
              <w:pStyle w:val="7"/>
              <w:spacing w:before="69" w:line="220" w:lineRule="auto"/>
              <w:ind w:left="294"/>
              <w:rPr>
                <w:sz w:val="21"/>
                <w:szCs w:val="21"/>
                <w:highlight w:val="none"/>
              </w:rPr>
            </w:pPr>
            <w:r>
              <w:rPr>
                <w:spacing w:val="4"/>
                <w:sz w:val="21"/>
                <w:szCs w:val="21"/>
                <w:highlight w:val="none"/>
              </w:rPr>
              <w:t>效益</w:t>
            </w:r>
          </w:p>
        </w:tc>
        <w:tc>
          <w:tcPr>
            <w:tcW w:w="2737" w:type="dxa"/>
            <w:vAlign w:val="top"/>
          </w:tcPr>
          <w:p w14:paraId="0DABDFF2">
            <w:pPr>
              <w:pStyle w:val="7"/>
              <w:spacing w:before="65" w:line="220" w:lineRule="auto"/>
              <w:ind w:left="64"/>
              <w:rPr>
                <w:sz w:val="21"/>
                <w:szCs w:val="21"/>
                <w:highlight w:val="none"/>
              </w:rPr>
            </w:pPr>
            <w:r>
              <w:rPr>
                <w:b/>
                <w:bCs/>
                <w:spacing w:val="-5"/>
                <w:sz w:val="21"/>
                <w:szCs w:val="21"/>
                <w:highlight w:val="none"/>
              </w:rPr>
              <w:t>项目效益</w:t>
            </w:r>
          </w:p>
        </w:tc>
        <w:tc>
          <w:tcPr>
            <w:tcW w:w="2317" w:type="dxa"/>
            <w:vAlign w:val="top"/>
          </w:tcPr>
          <w:p w14:paraId="596308D5">
            <w:pPr>
              <w:pStyle w:val="7"/>
              <w:spacing w:before="88" w:line="203" w:lineRule="auto"/>
              <w:ind w:left="1044"/>
              <w:rPr>
                <w:sz w:val="21"/>
                <w:szCs w:val="21"/>
                <w:highlight w:val="none"/>
              </w:rPr>
            </w:pPr>
            <w:r>
              <w:rPr>
                <w:spacing w:val="-3"/>
                <w:sz w:val="21"/>
                <w:szCs w:val="21"/>
                <w:highlight w:val="none"/>
              </w:rPr>
              <w:t>20</w:t>
            </w:r>
          </w:p>
        </w:tc>
        <w:tc>
          <w:tcPr>
            <w:tcW w:w="2602" w:type="dxa"/>
            <w:vAlign w:val="top"/>
          </w:tcPr>
          <w:p w14:paraId="718565E2">
            <w:pPr>
              <w:pStyle w:val="7"/>
              <w:spacing w:before="88" w:line="203" w:lineRule="auto"/>
              <w:ind w:left="1087"/>
              <w:rPr>
                <w:sz w:val="21"/>
                <w:szCs w:val="21"/>
                <w:highlight w:val="none"/>
              </w:rPr>
            </w:pPr>
            <w:r>
              <w:rPr>
                <w:spacing w:val="-5"/>
                <w:sz w:val="21"/>
                <w:szCs w:val="21"/>
                <w:highlight w:val="none"/>
              </w:rPr>
              <w:t>14.8</w:t>
            </w:r>
          </w:p>
        </w:tc>
      </w:tr>
      <w:tr w14:paraId="0E53C2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023" w:type="dxa"/>
            <w:vMerge w:val="continue"/>
            <w:tcBorders>
              <w:top w:val="nil"/>
              <w:bottom w:val="nil"/>
            </w:tcBorders>
            <w:vAlign w:val="top"/>
          </w:tcPr>
          <w:p w14:paraId="5F38F0CF">
            <w:pPr>
              <w:rPr>
                <w:rFonts w:ascii="Arial"/>
                <w:sz w:val="21"/>
                <w:highlight w:val="none"/>
              </w:rPr>
            </w:pPr>
          </w:p>
        </w:tc>
        <w:tc>
          <w:tcPr>
            <w:tcW w:w="2737" w:type="dxa"/>
            <w:vAlign w:val="top"/>
          </w:tcPr>
          <w:p w14:paraId="4A470ADF">
            <w:pPr>
              <w:pStyle w:val="7"/>
              <w:spacing w:before="79" w:line="220" w:lineRule="auto"/>
              <w:ind w:left="941"/>
              <w:rPr>
                <w:sz w:val="21"/>
                <w:szCs w:val="21"/>
                <w:highlight w:val="none"/>
              </w:rPr>
            </w:pPr>
            <w:r>
              <w:rPr>
                <w:spacing w:val="2"/>
                <w:sz w:val="21"/>
                <w:szCs w:val="21"/>
                <w:highlight w:val="none"/>
              </w:rPr>
              <w:t>实施效益</w:t>
            </w:r>
          </w:p>
        </w:tc>
        <w:tc>
          <w:tcPr>
            <w:tcW w:w="2317" w:type="dxa"/>
            <w:vAlign w:val="top"/>
          </w:tcPr>
          <w:p w14:paraId="1CDDCD9A">
            <w:pPr>
              <w:pStyle w:val="7"/>
              <w:spacing w:before="99" w:line="203" w:lineRule="auto"/>
              <w:ind w:left="1044"/>
              <w:rPr>
                <w:sz w:val="21"/>
                <w:szCs w:val="21"/>
                <w:highlight w:val="none"/>
              </w:rPr>
            </w:pPr>
            <w:r>
              <w:rPr>
                <w:spacing w:val="-3"/>
                <w:sz w:val="21"/>
                <w:szCs w:val="21"/>
                <w:highlight w:val="none"/>
              </w:rPr>
              <w:t>20</w:t>
            </w:r>
          </w:p>
        </w:tc>
        <w:tc>
          <w:tcPr>
            <w:tcW w:w="2602" w:type="dxa"/>
            <w:vAlign w:val="top"/>
          </w:tcPr>
          <w:p w14:paraId="14C8C590">
            <w:pPr>
              <w:pStyle w:val="7"/>
              <w:spacing w:before="99" w:line="203" w:lineRule="auto"/>
              <w:ind w:left="1087"/>
              <w:rPr>
                <w:sz w:val="21"/>
                <w:szCs w:val="21"/>
                <w:highlight w:val="none"/>
              </w:rPr>
            </w:pPr>
            <w:r>
              <w:rPr>
                <w:spacing w:val="-5"/>
                <w:sz w:val="21"/>
                <w:szCs w:val="21"/>
                <w:highlight w:val="none"/>
              </w:rPr>
              <w:t>14.8</w:t>
            </w:r>
          </w:p>
        </w:tc>
      </w:tr>
      <w:tr w14:paraId="25826A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9" w:hRule="atLeast"/>
        </w:trPr>
        <w:tc>
          <w:tcPr>
            <w:tcW w:w="1023" w:type="dxa"/>
            <w:vMerge w:val="continue"/>
            <w:tcBorders>
              <w:top w:val="nil"/>
            </w:tcBorders>
            <w:vAlign w:val="top"/>
          </w:tcPr>
          <w:p w14:paraId="200BB1CF">
            <w:pPr>
              <w:rPr>
                <w:rFonts w:ascii="Arial"/>
                <w:sz w:val="21"/>
                <w:highlight w:val="none"/>
              </w:rPr>
            </w:pPr>
          </w:p>
        </w:tc>
        <w:tc>
          <w:tcPr>
            <w:tcW w:w="2737" w:type="dxa"/>
            <w:vAlign w:val="top"/>
          </w:tcPr>
          <w:p w14:paraId="77E6E48A">
            <w:pPr>
              <w:pStyle w:val="7"/>
              <w:spacing w:before="78" w:line="219" w:lineRule="auto"/>
              <w:ind w:left="91"/>
              <w:rPr>
                <w:sz w:val="21"/>
                <w:szCs w:val="21"/>
                <w:highlight w:val="none"/>
              </w:rPr>
            </w:pPr>
            <w:r>
              <w:rPr>
                <w:spacing w:val="4"/>
                <w:sz w:val="21"/>
                <w:szCs w:val="21"/>
                <w:highlight w:val="none"/>
              </w:rPr>
              <w:t>满意度</w:t>
            </w:r>
          </w:p>
        </w:tc>
        <w:tc>
          <w:tcPr>
            <w:tcW w:w="2317" w:type="dxa"/>
            <w:vAlign w:val="top"/>
          </w:tcPr>
          <w:p w14:paraId="79BF6DA8">
            <w:pPr>
              <w:pStyle w:val="7"/>
              <w:spacing w:before="99" w:line="202" w:lineRule="auto"/>
              <w:ind w:left="1044"/>
              <w:rPr>
                <w:sz w:val="21"/>
                <w:szCs w:val="21"/>
                <w:highlight w:val="none"/>
              </w:rPr>
            </w:pPr>
            <w:r>
              <w:rPr>
                <w:spacing w:val="-6"/>
                <w:sz w:val="21"/>
                <w:szCs w:val="21"/>
                <w:highlight w:val="none"/>
              </w:rPr>
              <w:t>10</w:t>
            </w:r>
          </w:p>
        </w:tc>
        <w:tc>
          <w:tcPr>
            <w:tcW w:w="2602" w:type="dxa"/>
            <w:vAlign w:val="top"/>
          </w:tcPr>
          <w:p w14:paraId="400CCF35">
            <w:pPr>
              <w:pStyle w:val="7"/>
              <w:spacing w:before="99" w:line="202" w:lineRule="auto"/>
              <w:ind w:left="1137"/>
              <w:rPr>
                <w:sz w:val="21"/>
                <w:szCs w:val="21"/>
                <w:highlight w:val="none"/>
              </w:rPr>
            </w:pPr>
            <w:r>
              <w:rPr>
                <w:spacing w:val="-3"/>
                <w:sz w:val="21"/>
                <w:szCs w:val="21"/>
                <w:highlight w:val="none"/>
              </w:rPr>
              <w:t>7.6</w:t>
            </w:r>
          </w:p>
        </w:tc>
      </w:tr>
      <w:tr w14:paraId="36FFA4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5" w:hRule="atLeast"/>
        </w:trPr>
        <w:tc>
          <w:tcPr>
            <w:tcW w:w="1023" w:type="dxa"/>
            <w:vAlign w:val="top"/>
          </w:tcPr>
          <w:p w14:paraId="061EC102">
            <w:pPr>
              <w:pStyle w:val="7"/>
              <w:spacing w:before="80" w:line="221" w:lineRule="auto"/>
              <w:ind w:left="294"/>
              <w:rPr>
                <w:sz w:val="21"/>
                <w:szCs w:val="21"/>
                <w:highlight w:val="none"/>
              </w:rPr>
            </w:pPr>
            <w:r>
              <w:rPr>
                <w:spacing w:val="-3"/>
                <w:sz w:val="21"/>
                <w:szCs w:val="21"/>
                <w:highlight w:val="none"/>
              </w:rPr>
              <w:t>合计</w:t>
            </w:r>
          </w:p>
        </w:tc>
        <w:tc>
          <w:tcPr>
            <w:tcW w:w="2737" w:type="dxa"/>
            <w:vAlign w:val="top"/>
          </w:tcPr>
          <w:p w14:paraId="53E4102A">
            <w:pPr>
              <w:pStyle w:val="7"/>
              <w:spacing w:before="100" w:line="206" w:lineRule="auto"/>
              <w:ind w:left="1201"/>
              <w:rPr>
                <w:sz w:val="21"/>
                <w:szCs w:val="21"/>
                <w:highlight w:val="none"/>
              </w:rPr>
            </w:pPr>
            <w:r>
              <w:rPr>
                <w:spacing w:val="-6"/>
                <w:sz w:val="21"/>
                <w:szCs w:val="21"/>
                <w:highlight w:val="none"/>
              </w:rPr>
              <w:t>100</w:t>
            </w:r>
          </w:p>
        </w:tc>
        <w:tc>
          <w:tcPr>
            <w:tcW w:w="2317" w:type="dxa"/>
            <w:vAlign w:val="top"/>
          </w:tcPr>
          <w:p w14:paraId="6CE5ADAA">
            <w:pPr>
              <w:pStyle w:val="7"/>
              <w:spacing w:before="100" w:line="206" w:lineRule="auto"/>
              <w:ind w:left="995"/>
              <w:rPr>
                <w:sz w:val="21"/>
                <w:szCs w:val="21"/>
                <w:highlight w:val="none"/>
              </w:rPr>
            </w:pPr>
            <w:r>
              <w:rPr>
                <w:spacing w:val="-6"/>
                <w:sz w:val="21"/>
                <w:szCs w:val="21"/>
                <w:highlight w:val="none"/>
              </w:rPr>
              <w:t>100</w:t>
            </w:r>
          </w:p>
        </w:tc>
        <w:tc>
          <w:tcPr>
            <w:tcW w:w="2602" w:type="dxa"/>
            <w:vAlign w:val="top"/>
          </w:tcPr>
          <w:p w14:paraId="29607AAE">
            <w:pPr>
              <w:pStyle w:val="7"/>
              <w:spacing w:before="100" w:line="206" w:lineRule="auto"/>
              <w:ind w:left="1027"/>
              <w:rPr>
                <w:sz w:val="21"/>
                <w:szCs w:val="21"/>
                <w:highlight w:val="none"/>
              </w:rPr>
            </w:pPr>
            <w:r>
              <w:rPr>
                <w:spacing w:val="-2"/>
                <w:sz w:val="21"/>
                <w:szCs w:val="21"/>
                <w:highlight w:val="none"/>
              </w:rPr>
              <w:t>83.38</w:t>
            </w:r>
          </w:p>
        </w:tc>
      </w:tr>
    </w:tbl>
    <w:p w14:paraId="6AA5A0D4">
      <w:pPr>
        <w:spacing w:line="332" w:lineRule="auto"/>
        <w:rPr>
          <w:rFonts w:ascii="Arial"/>
          <w:sz w:val="21"/>
          <w:highlight w:val="none"/>
        </w:rPr>
      </w:pPr>
    </w:p>
    <w:p w14:paraId="7E97F14D">
      <w:pPr>
        <w:spacing w:before="78" w:line="218" w:lineRule="auto"/>
        <w:ind w:left="135"/>
        <w:rPr>
          <w:rFonts w:ascii="宋体" w:hAnsi="宋体" w:eastAsia="宋体" w:cs="宋体"/>
          <w:sz w:val="24"/>
          <w:szCs w:val="24"/>
          <w:highlight w:val="none"/>
        </w:rPr>
      </w:pPr>
      <w:r>
        <w:rPr>
          <w:rFonts w:ascii="宋体" w:hAnsi="宋体" w:eastAsia="宋体" w:cs="宋体"/>
          <w:sz w:val="24"/>
          <w:szCs w:val="24"/>
          <w:highlight w:val="none"/>
        </w:rPr>
        <w:t>二、专家评价综合意见</w:t>
      </w:r>
    </w:p>
    <w:p w14:paraId="6F188277">
      <w:pPr>
        <w:spacing w:before="35"/>
        <w:rPr>
          <w:highlight w:val="none"/>
        </w:rPr>
      </w:pPr>
    </w:p>
    <w:p w14:paraId="43A7D2F3">
      <w:pPr>
        <w:spacing w:before="35"/>
        <w:rPr>
          <w:highlight w:val="none"/>
        </w:rPr>
      </w:pPr>
    </w:p>
    <w:tbl>
      <w:tblPr>
        <w:tblStyle w:val="6"/>
        <w:tblW w:w="848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93"/>
        <w:gridCol w:w="6987"/>
      </w:tblGrid>
      <w:tr w14:paraId="2F1BAC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trPr>
        <w:tc>
          <w:tcPr>
            <w:tcW w:w="1493" w:type="dxa"/>
            <w:vAlign w:val="top"/>
          </w:tcPr>
          <w:p w14:paraId="4CF7A609">
            <w:pPr>
              <w:pStyle w:val="7"/>
              <w:spacing w:before="52" w:line="218" w:lineRule="auto"/>
              <w:ind w:left="295"/>
              <w:rPr>
                <w:sz w:val="22"/>
                <w:szCs w:val="22"/>
                <w:highlight w:val="none"/>
              </w:rPr>
            </w:pPr>
            <w:r>
              <w:rPr>
                <w:spacing w:val="-2"/>
                <w:sz w:val="22"/>
                <w:szCs w:val="22"/>
                <w:highlight w:val="none"/>
              </w:rPr>
              <w:t>评价得分</w:t>
            </w:r>
          </w:p>
        </w:tc>
        <w:tc>
          <w:tcPr>
            <w:tcW w:w="6987" w:type="dxa"/>
            <w:vAlign w:val="top"/>
          </w:tcPr>
          <w:p w14:paraId="03964C4E">
            <w:pPr>
              <w:pStyle w:val="7"/>
              <w:spacing w:before="95" w:line="239" w:lineRule="auto"/>
              <w:ind w:left="3212"/>
              <w:rPr>
                <w:sz w:val="22"/>
                <w:szCs w:val="22"/>
                <w:highlight w:val="none"/>
              </w:rPr>
            </w:pPr>
            <w:r>
              <w:rPr>
                <w:spacing w:val="-2"/>
                <w:sz w:val="22"/>
                <w:szCs w:val="22"/>
                <w:highlight w:val="none"/>
              </w:rPr>
              <w:t>83.38</w:t>
            </w:r>
          </w:p>
        </w:tc>
      </w:tr>
      <w:tr w14:paraId="4AC60E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8" w:hRule="atLeast"/>
        </w:trPr>
        <w:tc>
          <w:tcPr>
            <w:tcW w:w="1493" w:type="dxa"/>
            <w:vAlign w:val="top"/>
          </w:tcPr>
          <w:p w14:paraId="3FF0207E">
            <w:pPr>
              <w:spacing w:line="290" w:lineRule="auto"/>
              <w:rPr>
                <w:rFonts w:ascii="Arial"/>
                <w:sz w:val="21"/>
                <w:highlight w:val="none"/>
              </w:rPr>
            </w:pPr>
          </w:p>
          <w:p w14:paraId="1749BD33">
            <w:pPr>
              <w:pStyle w:val="7"/>
              <w:spacing w:before="71" w:line="220" w:lineRule="auto"/>
              <w:ind w:left="295"/>
              <w:rPr>
                <w:sz w:val="22"/>
                <w:szCs w:val="22"/>
                <w:highlight w:val="none"/>
              </w:rPr>
            </w:pPr>
            <w:r>
              <w:rPr>
                <w:spacing w:val="4"/>
                <w:sz w:val="22"/>
                <w:szCs w:val="22"/>
                <w:highlight w:val="none"/>
              </w:rPr>
              <w:t>绩效级别</w:t>
            </w:r>
          </w:p>
        </w:tc>
        <w:tc>
          <w:tcPr>
            <w:tcW w:w="6987" w:type="dxa"/>
            <w:vAlign w:val="top"/>
          </w:tcPr>
          <w:p w14:paraId="250212AC">
            <w:pPr>
              <w:pStyle w:val="7"/>
              <w:spacing w:before="133" w:line="325" w:lineRule="auto"/>
              <w:ind w:left="331" w:right="2692" w:hanging="19"/>
              <w:rPr>
                <w:sz w:val="22"/>
                <w:szCs w:val="22"/>
                <w:highlight w:val="none"/>
              </w:rPr>
            </w:pPr>
            <w:r>
              <w:rPr>
                <w:sz w:val="22"/>
                <w:szCs w:val="22"/>
                <w:highlight w:val="none"/>
              </w:rPr>
              <w:t>优(90分以上)口        良(80-90分)</w:t>
            </w:r>
            <w:r>
              <w:rPr>
                <w:spacing w:val="-24"/>
                <w:sz w:val="22"/>
                <w:szCs w:val="22"/>
                <w:highlight w:val="none"/>
              </w:rPr>
              <w:t xml:space="preserve"> </w:t>
            </w:r>
            <w:r>
              <w:rPr>
                <w:sz w:val="22"/>
                <w:szCs w:val="22"/>
                <w:highlight w:val="none"/>
              </w:rPr>
              <w:t xml:space="preserve">√ </w:t>
            </w:r>
            <w:r>
              <w:rPr>
                <w:spacing w:val="4"/>
                <w:position w:val="-1"/>
                <w:sz w:val="22"/>
                <w:szCs w:val="22"/>
                <w:highlight w:val="none"/>
              </w:rPr>
              <w:t xml:space="preserve">中(60-80分)口        </w:t>
            </w:r>
            <w:r>
              <w:rPr>
                <w:spacing w:val="4"/>
                <w:position w:val="1"/>
                <w:sz w:val="22"/>
                <w:szCs w:val="22"/>
                <w:highlight w:val="none"/>
              </w:rPr>
              <w:t>差(</w:t>
            </w:r>
            <w:r>
              <w:rPr>
                <w:spacing w:val="3"/>
                <w:position w:val="1"/>
                <w:sz w:val="22"/>
                <w:szCs w:val="22"/>
                <w:highlight w:val="none"/>
              </w:rPr>
              <w:t>60分以下)口</w:t>
            </w:r>
          </w:p>
        </w:tc>
      </w:tr>
    </w:tbl>
    <w:p w14:paraId="4926842D">
      <w:pPr>
        <w:rPr>
          <w:rFonts w:ascii="Arial"/>
          <w:sz w:val="21"/>
          <w:highlight w:val="none"/>
        </w:rPr>
      </w:pPr>
    </w:p>
    <w:p w14:paraId="2C21591B">
      <w:pPr>
        <w:rPr>
          <w:highlight w:val="none"/>
        </w:rPr>
      </w:pPr>
    </w:p>
    <w:sectPr>
      <w:pgSz w:w="11900" w:h="16830"/>
      <w:pgMar w:top="400" w:right="497" w:bottom="400" w:left="1624" w:header="0" w:footer="0" w:gutter="0"/>
      <w:pgNumType w:fmt="numberInDash"/>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029878EC-4FFE-4D1D-815B-ACF5EC7C2D15}"/>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60C9BC50-CEDA-47AE-B054-971FE269BA2A}"/>
  </w:font>
  <w:font w:name="仿宋_GB2312">
    <w:altName w:val="仿宋"/>
    <w:panose1 w:val="02010609030101010101"/>
    <w:charset w:val="86"/>
    <w:family w:val="auto"/>
    <w:pitch w:val="default"/>
    <w:sig w:usb0="00000000" w:usb1="00000000" w:usb2="00000000" w:usb3="00000000" w:csb0="00040000" w:csb1="00000000"/>
    <w:embedRegular r:id="rId3" w:fontKey="{07FAAC82-7E32-4445-B51D-04765611FD92}"/>
  </w:font>
  <w:font w:name="仿宋">
    <w:panose1 w:val="02010609060101010101"/>
    <w:charset w:val="86"/>
    <w:family w:val="auto"/>
    <w:pitch w:val="default"/>
    <w:sig w:usb0="800002BF" w:usb1="38CF7CFA" w:usb2="00000016" w:usb3="00000000" w:csb0="00040001" w:csb1="00000000"/>
    <w:embedRegular r:id="rId4" w:fontKey="{81D153D7-9947-4C05-AD02-BE379EF58120}"/>
  </w:font>
  <w:font w:name="楷体_GB2312">
    <w:altName w:val="楷体"/>
    <w:panose1 w:val="02010609030101010101"/>
    <w:charset w:val="86"/>
    <w:family w:val="auto"/>
    <w:pitch w:val="default"/>
    <w:sig w:usb0="00000000" w:usb1="00000000" w:usb2="00000000" w:usb3="00000000" w:csb0="00040000" w:csb1="00000000"/>
    <w:embedRegular r:id="rId5" w:fontKey="{0B90E542-E6F4-4DD0-A311-610EDF91A9FE}"/>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689E8E">
    <w:pPr>
      <w:spacing w:before="1" w:line="232" w:lineRule="auto"/>
      <w:ind w:left="3940"/>
      <w:rPr>
        <w:rFonts w:ascii="宋体" w:hAnsi="宋体" w:eastAsia="宋体" w:cs="宋体"/>
        <w:sz w:val="27"/>
        <w:szCs w:val="27"/>
      </w:rPr>
    </w:pPr>
    <w:r>
      <w:rPr>
        <w:sz w:val="27"/>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CB0C111">
                          <w:pPr>
                            <w:pStyle w:val="3"/>
                            <w:rPr>
                              <w:rFonts w:hint="eastAsia" w:eastAsia="宋体"/>
                              <w:sz w:val="32"/>
                              <w:szCs w:val="32"/>
                              <w:lang w:eastAsia="zh-CN"/>
                            </w:rPr>
                          </w:pPr>
                          <w:r>
                            <w:rPr>
                              <w:rFonts w:hint="eastAsia" w:eastAsia="宋体"/>
                              <w:sz w:val="32"/>
                              <w:szCs w:val="32"/>
                              <w:lang w:eastAsia="zh-CN"/>
                            </w:rPr>
                            <w:fldChar w:fldCharType="begin"/>
                          </w:r>
                          <w:r>
                            <w:rPr>
                              <w:rFonts w:hint="eastAsia" w:eastAsia="宋体"/>
                              <w:sz w:val="32"/>
                              <w:szCs w:val="32"/>
                              <w:lang w:eastAsia="zh-CN"/>
                            </w:rPr>
                            <w:instrText xml:space="preserve"> PAGE  \* MERGEFORMAT </w:instrText>
                          </w:r>
                          <w:r>
                            <w:rPr>
                              <w:rFonts w:hint="eastAsia" w:eastAsia="宋体"/>
                              <w:sz w:val="32"/>
                              <w:szCs w:val="32"/>
                              <w:lang w:eastAsia="zh-CN"/>
                            </w:rPr>
                            <w:fldChar w:fldCharType="separate"/>
                          </w:r>
                          <w:r>
                            <w:rPr>
                              <w:rFonts w:hint="eastAsia" w:eastAsia="宋体"/>
                              <w:sz w:val="32"/>
                              <w:szCs w:val="32"/>
                              <w:lang w:eastAsia="zh-CN"/>
                            </w:rPr>
                            <w:t>1</w:t>
                          </w:r>
                          <w:r>
                            <w:rPr>
                              <w:rFonts w:hint="eastAsia" w:eastAsia="宋体"/>
                              <w:sz w:val="32"/>
                              <w:szCs w:val="32"/>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1CB0C111">
                    <w:pPr>
                      <w:pStyle w:val="3"/>
                      <w:rPr>
                        <w:rFonts w:hint="eastAsia" w:eastAsia="宋体"/>
                        <w:sz w:val="32"/>
                        <w:szCs w:val="32"/>
                        <w:lang w:eastAsia="zh-CN"/>
                      </w:rPr>
                    </w:pPr>
                    <w:r>
                      <w:rPr>
                        <w:rFonts w:hint="eastAsia" w:eastAsia="宋体"/>
                        <w:sz w:val="32"/>
                        <w:szCs w:val="32"/>
                        <w:lang w:eastAsia="zh-CN"/>
                      </w:rPr>
                      <w:fldChar w:fldCharType="begin"/>
                    </w:r>
                    <w:r>
                      <w:rPr>
                        <w:rFonts w:hint="eastAsia" w:eastAsia="宋体"/>
                        <w:sz w:val="32"/>
                        <w:szCs w:val="32"/>
                        <w:lang w:eastAsia="zh-CN"/>
                      </w:rPr>
                      <w:instrText xml:space="preserve"> PAGE  \* MERGEFORMAT </w:instrText>
                    </w:r>
                    <w:r>
                      <w:rPr>
                        <w:rFonts w:hint="eastAsia" w:eastAsia="宋体"/>
                        <w:sz w:val="32"/>
                        <w:szCs w:val="32"/>
                        <w:lang w:eastAsia="zh-CN"/>
                      </w:rPr>
                      <w:fldChar w:fldCharType="separate"/>
                    </w:r>
                    <w:r>
                      <w:rPr>
                        <w:rFonts w:hint="eastAsia" w:eastAsia="宋体"/>
                        <w:sz w:val="32"/>
                        <w:szCs w:val="32"/>
                        <w:lang w:eastAsia="zh-CN"/>
                      </w:rPr>
                      <w:t>1</w:t>
                    </w:r>
                    <w:r>
                      <w:rPr>
                        <w:rFonts w:hint="eastAsia" w:eastAsia="宋体"/>
                        <w:sz w:val="32"/>
                        <w:szCs w:val="32"/>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2609A1">
    <w:pPr>
      <w:spacing w:line="14" w:lineRule="auto"/>
      <w:rPr>
        <w:rFonts w:ascii="Arial"/>
        <w:sz w:val="2"/>
      </w:rPr>
    </w:pPr>
    <w:r>
      <w:rPr>
        <w:sz w:val="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F267D04">
                          <w:pPr>
                            <w:pStyle w:val="3"/>
                            <w:rPr>
                              <w:rFonts w:hint="eastAsia"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18</w:t>
                          </w:r>
                          <w:r>
                            <w:rPr>
                              <w:rFonts w:hint="eastAsia" w:eastAsia="宋体"/>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3F267D04">
                    <w:pPr>
                      <w:pStyle w:val="3"/>
                      <w:rPr>
                        <w:rFonts w:hint="eastAsia"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18</w:t>
                    </w:r>
                    <w:r>
                      <w:rPr>
                        <w:rFonts w:hint="eastAsia" w:eastAsia="宋体"/>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3219E4">
    <w:pPr>
      <w:spacing w:line="14" w:lineRule="auto"/>
      <w:rPr>
        <w:rFonts w:ascii="Arial"/>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82708E">
    <w:pPr>
      <w:spacing w:line="14" w:lineRule="auto"/>
      <w:rPr>
        <w:rFonts w:ascii="Arial"/>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081C6AA5"/>
    <w:rsid w:val="137517A9"/>
    <w:rsid w:val="14AE543C"/>
    <w:rsid w:val="1BCC1384"/>
    <w:rsid w:val="1CAD4145"/>
    <w:rsid w:val="232B1946"/>
    <w:rsid w:val="24F10AA2"/>
    <w:rsid w:val="36E25AA3"/>
    <w:rsid w:val="454A2211"/>
    <w:rsid w:val="46977C24"/>
    <w:rsid w:val="4E657ED0"/>
    <w:rsid w:val="609A3133"/>
    <w:rsid w:val="6ED70F67"/>
    <w:rsid w:val="78A73C4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黑体" w:hAnsi="黑体" w:eastAsia="黑体" w:cs="黑体"/>
      <w:sz w:val="30"/>
      <w:szCs w:val="30"/>
      <w:lang w:val="en-US" w:eastAsia="en-US" w:bidi="ar-SA"/>
    </w:rPr>
  </w:style>
  <w:style w:type="paragraph" w:styleId="3">
    <w:name w:val="footer"/>
    <w:basedOn w:val="1"/>
    <w:uiPriority w:val="0"/>
    <w:pPr>
      <w:tabs>
        <w:tab w:val="center" w:pos="4153"/>
        <w:tab w:val="right" w:pos="8306"/>
      </w:tabs>
      <w:snapToGrid w:val="0"/>
      <w:jc w:val="left"/>
    </w:pPr>
    <w:rPr>
      <w:sz w:val="18"/>
    </w:rPr>
  </w:style>
  <w:style w:type="table" w:customStyle="1" w:styleId="6">
    <w:name w:val="Table Normal"/>
    <w:semiHidden/>
    <w:unhideWhenUsed/>
    <w:qFormat/>
    <w:uiPriority w:val="0"/>
    <w:tblPr>
      <w:tblCellMar>
        <w:top w:w="0" w:type="dxa"/>
        <w:left w:w="0" w:type="dxa"/>
        <w:bottom w:w="0" w:type="dxa"/>
        <w:right w:w="0" w:type="dxa"/>
      </w:tblCellMar>
    </w:tblPr>
  </w:style>
  <w:style w:type="paragraph" w:customStyle="1" w:styleId="7">
    <w:name w:val="Table Text"/>
    <w:basedOn w:val="1"/>
    <w:semiHidden/>
    <w:qFormat/>
    <w:uiPriority w:val="0"/>
    <w:rPr>
      <w:rFonts w:ascii="宋体" w:hAnsi="宋体" w:eastAsia="宋体" w:cs="宋体"/>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20</Pages>
  <Words>7376</Words>
  <Characters>7833</Characters>
  <TotalTime>50</TotalTime>
  <ScaleCrop>false</ScaleCrop>
  <LinksUpToDate>false</LinksUpToDate>
  <CharactersWithSpaces>8039</CharactersWithSpaces>
  <Application>WPS Office_12.1.0.22529_F1E327BC-269C-435d-A152-05C5408002CA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2025-08-22T16:28:00Z</dcterms:created>
  <dc:creator>zhangliyuan</dc:creator>
  <cp:lastModifiedBy>天天快乐</cp:lastModifiedBy>
  <dcterms:modified xsi:type="dcterms:W3CDTF">2025-08-25T10:25:41Z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2025-08-22T16:28:23Z</vt:filetime>
  </property>
  <property fmtid="{D5CDD505-2E9C-101B-9397-08002B2CF9AE}" pid="4" name="UsrData">
    <vt:lpwstr>68a82a226c77ff001f00d1bdwl</vt:lpwstr>
  </property>
  <property fmtid="{D5CDD505-2E9C-101B-9397-08002B2CF9AE}" pid="5" name="KSOTemplateDocerSaveRecord">
    <vt:lpwstr>eyJoZGlkIjoiMzEwNTM5NzYwMDRjMzkwZTVkZjY2ODkwMGIxNGU0OTUiLCJ1c2VySWQiOiI3NDA2Mzg5MzIifQ==</vt:lpwstr>
  </property>
  <property fmtid="{D5CDD505-2E9C-101B-9397-08002B2CF9AE}" pid="6" name="KSOProductBuildVer">
    <vt:lpwstr>2052-12.1.0.22529</vt:lpwstr>
  </property>
  <property fmtid="{D5CDD505-2E9C-101B-9397-08002B2CF9AE}" pid="7" name="ICV">
    <vt:lpwstr>AA6F832793034A8C9D05A449388F3251_13</vt:lpwstr>
  </property>
</Properties>
</file>